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jc w:val="both"/>
        <w:rPr>
          <w:rFonts w:hint="eastAsia" w:ascii="仿宋" w:hAnsi="仿宋" w:eastAsia="仿宋" w:cs="宋体"/>
        </w:rPr>
      </w:pPr>
      <w:bookmarkStart w:id="0" w:name="_Toc478765519"/>
      <w:r>
        <w:rPr>
          <w:rFonts w:hint="eastAsia" w:ascii="仿宋" w:hAnsi="仿宋" w:eastAsia="仿宋" w:cs="宋体"/>
          <w:lang w:eastAsia="zh-CN"/>
        </w:rPr>
        <w:t>附件</w:t>
      </w:r>
      <w:r>
        <w:rPr>
          <w:rFonts w:hint="eastAsia" w:ascii="仿宋" w:hAnsi="仿宋" w:eastAsia="仿宋" w:cs="宋体"/>
          <w:lang w:val="en-US" w:eastAsia="zh-CN"/>
        </w:rPr>
        <w:t>2</w:t>
      </w:r>
      <w:r>
        <w:rPr>
          <w:rFonts w:hint="eastAsia" w:ascii="仿宋" w:hAnsi="仿宋" w:eastAsia="仿宋"/>
          <w:b/>
          <w:kern w:val="0"/>
          <w:sz w:val="36"/>
          <w:szCs w:val="36"/>
          <w:lang w:eastAsia="zh-CN"/>
        </w:rPr>
        <w:t>：</w:t>
      </w:r>
      <w:r>
        <w:rPr>
          <w:rFonts w:hint="eastAsia" w:ascii="仿宋" w:hAnsi="仿宋" w:eastAsia="仿宋"/>
          <w:b/>
          <w:kern w:val="0"/>
          <w:sz w:val="36"/>
          <w:szCs w:val="36"/>
        </w:rPr>
        <w:t xml:space="preserve"> </w:t>
      </w:r>
      <w:r>
        <w:rPr>
          <w:rFonts w:hint="eastAsia" w:ascii="仿宋" w:hAnsi="仿宋" w:eastAsia="仿宋"/>
          <w:b/>
          <w:kern w:val="0"/>
          <w:sz w:val="36"/>
          <w:szCs w:val="36"/>
          <w:lang w:val="en-US" w:eastAsia="zh-CN"/>
        </w:rPr>
        <w:t xml:space="preserve">       </w:t>
      </w:r>
      <w:r>
        <w:rPr>
          <w:rFonts w:hint="eastAsia" w:ascii="仿宋" w:hAnsi="仿宋" w:eastAsia="仿宋"/>
          <w:b/>
          <w:kern w:val="0"/>
          <w:sz w:val="36"/>
          <w:szCs w:val="36"/>
        </w:rPr>
        <w:t>投标人须知</w:t>
      </w:r>
      <w:bookmarkEnd w:id="0"/>
    </w:p>
    <w:p>
      <w:pPr>
        <w:pStyle w:val="5"/>
        <w:adjustRightInd w:val="0"/>
        <w:snapToGrid w:val="0"/>
        <w:spacing w:line="276" w:lineRule="auto"/>
        <w:outlineLvl w:val="1"/>
        <w:rPr>
          <w:rFonts w:hint="eastAsia" w:ascii="仿宋" w:hAnsi="仿宋" w:eastAsia="仿宋"/>
          <w:b/>
          <w:szCs w:val="24"/>
        </w:rPr>
      </w:pPr>
      <w:bookmarkStart w:id="1" w:name="_Toc478765520"/>
      <w:bookmarkStart w:id="2" w:name="_Toc23461"/>
      <w:bookmarkStart w:id="3" w:name="_Toc328142331"/>
      <w:r>
        <w:rPr>
          <w:rFonts w:hint="eastAsia" w:ascii="仿宋" w:hAnsi="仿宋" w:eastAsia="仿宋"/>
          <w:b/>
          <w:szCs w:val="24"/>
        </w:rPr>
        <w:t>一、说明</w:t>
      </w:r>
      <w:bookmarkEnd w:id="1"/>
    </w:p>
    <w:p>
      <w:pPr>
        <w:spacing w:line="276" w:lineRule="auto"/>
        <w:rPr>
          <w:rFonts w:hint="eastAsia" w:ascii="仿宋" w:hAnsi="仿宋" w:eastAsia="仿宋"/>
        </w:rPr>
      </w:pPr>
      <w:r>
        <w:rPr>
          <w:rFonts w:hint="eastAsia" w:ascii="仿宋" w:hAnsi="仿宋" w:eastAsia="仿宋"/>
        </w:rPr>
        <w:t>1、适用范围</w:t>
      </w:r>
    </w:p>
    <w:p>
      <w:pPr>
        <w:spacing w:line="276" w:lineRule="auto"/>
        <w:ind w:firstLine="360" w:firstLineChars="150"/>
        <w:rPr>
          <w:rFonts w:hint="eastAsia" w:ascii="仿宋" w:hAnsi="仿宋" w:eastAsia="仿宋"/>
        </w:rPr>
      </w:pPr>
      <w:r>
        <w:rPr>
          <w:rFonts w:hint="eastAsia" w:ascii="仿宋" w:hAnsi="仿宋" w:eastAsia="仿宋"/>
        </w:rPr>
        <w:t>1.1本招标文件适用于本投标邀请中所述项目的采购。</w:t>
      </w:r>
    </w:p>
    <w:p>
      <w:pPr>
        <w:spacing w:line="276" w:lineRule="auto"/>
        <w:ind w:left="840" w:leftChars="150" w:hanging="480" w:hangingChars="200"/>
        <w:rPr>
          <w:rFonts w:hint="eastAsia" w:ascii="仿宋" w:hAnsi="仿宋" w:eastAsia="仿宋"/>
        </w:rPr>
      </w:pPr>
      <w:r>
        <w:rPr>
          <w:rFonts w:hint="eastAsia" w:ascii="仿宋" w:hAnsi="仿宋" w:eastAsia="仿宋"/>
        </w:rPr>
        <w:t>1.2</w:t>
      </w:r>
      <w:r>
        <w:rPr>
          <w:rFonts w:hint="eastAsia" w:ascii="仿宋" w:hAnsi="仿宋" w:eastAsia="仿宋"/>
        </w:rPr>
        <w:tab/>
      </w:r>
      <w:r>
        <w:rPr>
          <w:rFonts w:hint="eastAsia" w:ascii="仿宋" w:hAnsi="仿宋" w:eastAsia="仿宋"/>
        </w:rPr>
        <w:t>依据《中华人民共和国招标投标法》、《中华人民共和国政府采购法》、《中华人民共和国政府采购法实施条例》及广东省、惠州市政府采购有关规定制定本须知。</w:t>
      </w:r>
    </w:p>
    <w:p>
      <w:pPr>
        <w:spacing w:line="276" w:lineRule="auto"/>
        <w:ind w:firstLine="360" w:firstLineChars="150"/>
        <w:rPr>
          <w:rFonts w:hint="eastAsia" w:ascii="仿宋" w:hAnsi="仿宋" w:eastAsia="仿宋"/>
        </w:rPr>
      </w:pPr>
      <w:r>
        <w:rPr>
          <w:rFonts w:hint="eastAsia" w:ascii="仿宋" w:hAnsi="仿宋" w:eastAsia="仿宋"/>
        </w:rPr>
        <w:t>1.3本项目的采购人、投标人及各方当事人适用本须知。</w:t>
      </w:r>
    </w:p>
    <w:p>
      <w:pPr>
        <w:spacing w:line="276" w:lineRule="auto"/>
        <w:rPr>
          <w:rFonts w:hint="eastAsia" w:ascii="仿宋" w:hAnsi="仿宋" w:eastAsia="仿宋"/>
        </w:rPr>
      </w:pPr>
      <w:r>
        <w:rPr>
          <w:rFonts w:hint="eastAsia" w:ascii="仿宋" w:hAnsi="仿宋" w:eastAsia="仿宋"/>
        </w:rPr>
        <w:t>2、定义</w:t>
      </w:r>
    </w:p>
    <w:p>
      <w:pPr>
        <w:spacing w:line="276" w:lineRule="auto"/>
        <w:ind w:firstLine="360" w:firstLineChars="150"/>
        <w:rPr>
          <w:rFonts w:hint="eastAsia" w:ascii="仿宋" w:hAnsi="仿宋" w:eastAsia="仿宋"/>
        </w:rPr>
      </w:pPr>
      <w:r>
        <w:rPr>
          <w:rFonts w:hint="eastAsia" w:ascii="仿宋" w:hAnsi="仿宋" w:eastAsia="仿宋"/>
        </w:rPr>
        <w:t>2.1“采购人”是指：</w:t>
      </w:r>
      <w:r>
        <w:rPr>
          <w:rFonts w:hint="eastAsia" w:ascii="仿宋" w:hAnsi="仿宋" w:eastAsia="仿宋"/>
          <w:lang w:eastAsia="zh-CN"/>
        </w:rPr>
        <w:t>惠州市中医医院</w:t>
      </w:r>
      <w:r>
        <w:rPr>
          <w:rFonts w:hint="eastAsia" w:ascii="仿宋" w:hAnsi="仿宋" w:eastAsia="仿宋"/>
        </w:rPr>
        <w:t>。</w:t>
      </w:r>
    </w:p>
    <w:p>
      <w:pPr>
        <w:spacing w:line="276" w:lineRule="auto"/>
        <w:ind w:firstLine="360" w:firstLineChars="150"/>
        <w:rPr>
          <w:rFonts w:hint="eastAsia" w:ascii="仿宋" w:hAnsi="仿宋" w:eastAsia="仿宋"/>
        </w:rPr>
      </w:pPr>
      <w:r>
        <w:rPr>
          <w:rFonts w:hint="eastAsia" w:ascii="仿宋" w:hAnsi="仿宋" w:eastAsia="仿宋"/>
        </w:rPr>
        <w:t>2.2“采购监管部门”是指：</w:t>
      </w:r>
      <w:r>
        <w:rPr>
          <w:rFonts w:hint="eastAsia" w:ascii="仿宋" w:hAnsi="仿宋" w:eastAsia="仿宋"/>
          <w:lang w:eastAsia="zh-CN"/>
        </w:rPr>
        <w:t>惠州市中医医院纪检办</w:t>
      </w:r>
      <w:r>
        <w:rPr>
          <w:rFonts w:hint="eastAsia" w:ascii="仿宋" w:hAnsi="仿宋" w:eastAsia="仿宋"/>
        </w:rPr>
        <w:t>。</w:t>
      </w:r>
    </w:p>
    <w:p>
      <w:pPr>
        <w:spacing w:line="276" w:lineRule="auto"/>
        <w:ind w:firstLine="360" w:firstLineChars="150"/>
        <w:rPr>
          <w:rFonts w:hint="eastAsia" w:ascii="仿宋" w:hAnsi="仿宋" w:eastAsia="仿宋"/>
        </w:rPr>
      </w:pPr>
      <w:r>
        <w:rPr>
          <w:rFonts w:hint="eastAsia" w:ascii="仿宋" w:hAnsi="仿宋" w:eastAsia="仿宋"/>
        </w:rPr>
        <w:t>2.5合格的投标人：见招标文件前款。</w:t>
      </w:r>
    </w:p>
    <w:p>
      <w:pPr>
        <w:pStyle w:val="5"/>
        <w:adjustRightInd w:val="0"/>
        <w:snapToGrid w:val="0"/>
        <w:spacing w:line="276" w:lineRule="auto"/>
        <w:ind w:firstLine="360" w:firstLineChars="150"/>
        <w:rPr>
          <w:rFonts w:hint="eastAsia" w:ascii="仿宋" w:hAnsi="仿宋" w:eastAsia="仿宋"/>
          <w:szCs w:val="24"/>
        </w:rPr>
      </w:pPr>
      <w:r>
        <w:rPr>
          <w:rFonts w:hint="eastAsia" w:ascii="仿宋" w:hAnsi="仿宋" w:eastAsia="仿宋"/>
          <w:szCs w:val="24"/>
        </w:rPr>
        <w:t>2.6“中标人”是指：经法定程序确定并授予合同的投标人。</w:t>
      </w:r>
    </w:p>
    <w:p>
      <w:pPr>
        <w:pStyle w:val="5"/>
        <w:adjustRightInd w:val="0"/>
        <w:snapToGrid w:val="0"/>
        <w:spacing w:line="276" w:lineRule="auto"/>
        <w:rPr>
          <w:rFonts w:hint="eastAsia" w:ascii="仿宋" w:hAnsi="仿宋" w:eastAsia="仿宋"/>
          <w:szCs w:val="24"/>
        </w:rPr>
      </w:pPr>
      <w:r>
        <w:rPr>
          <w:rFonts w:hint="eastAsia" w:ascii="仿宋" w:hAnsi="仿宋" w:eastAsia="仿宋"/>
          <w:szCs w:val="24"/>
        </w:rPr>
        <w:t>3、合格的工程</w:t>
      </w:r>
    </w:p>
    <w:p>
      <w:pPr>
        <w:adjustRightInd w:val="0"/>
        <w:snapToGrid w:val="0"/>
        <w:spacing w:line="276" w:lineRule="auto"/>
        <w:ind w:left="480" w:leftChars="200"/>
        <w:jc w:val="left"/>
        <w:rPr>
          <w:rFonts w:hint="eastAsia" w:ascii="仿宋" w:hAnsi="仿宋" w:eastAsia="仿宋"/>
        </w:rPr>
      </w:pPr>
      <w:r>
        <w:rPr>
          <w:rFonts w:hint="eastAsia" w:ascii="仿宋" w:hAnsi="仿宋" w:eastAsia="仿宋"/>
        </w:rPr>
        <w:t>满足国家相关法律、法规、规章等规定，并符合本项目相关质量要求、安全文明施工要求的工程。</w:t>
      </w:r>
    </w:p>
    <w:p>
      <w:pPr>
        <w:pStyle w:val="5"/>
        <w:adjustRightInd w:val="0"/>
        <w:snapToGrid w:val="0"/>
        <w:spacing w:line="276" w:lineRule="auto"/>
        <w:rPr>
          <w:rFonts w:hint="eastAsia" w:ascii="仿宋" w:hAnsi="仿宋" w:eastAsia="仿宋"/>
          <w:snapToGrid w:val="0"/>
          <w:kern w:val="0"/>
          <w:szCs w:val="24"/>
        </w:rPr>
      </w:pPr>
      <w:r>
        <w:rPr>
          <w:rFonts w:hint="eastAsia" w:ascii="仿宋" w:hAnsi="仿宋" w:eastAsia="仿宋"/>
          <w:snapToGrid w:val="0"/>
          <w:kern w:val="0"/>
          <w:szCs w:val="24"/>
        </w:rPr>
        <w:t>4、通知</w:t>
      </w:r>
    </w:p>
    <w:p>
      <w:pPr>
        <w:adjustRightInd w:val="0"/>
        <w:snapToGrid w:val="0"/>
        <w:spacing w:line="276" w:lineRule="auto"/>
        <w:ind w:left="360" w:leftChars="150"/>
        <w:jc w:val="left"/>
        <w:rPr>
          <w:rFonts w:hint="eastAsia" w:ascii="仿宋" w:hAnsi="仿宋" w:eastAsia="仿宋"/>
        </w:rPr>
      </w:pPr>
      <w:r>
        <w:rPr>
          <w:rFonts w:hint="eastAsia" w:ascii="仿宋" w:hAnsi="仿宋" w:eastAsia="仿宋"/>
          <w:snapToGrid w:val="0"/>
          <w:kern w:val="0"/>
        </w:rPr>
        <w:t>对与本项目有关的通知，</w:t>
      </w:r>
      <w:r>
        <w:rPr>
          <w:rFonts w:hint="eastAsia" w:ascii="仿宋" w:hAnsi="仿宋" w:eastAsia="仿宋"/>
          <w:lang w:eastAsia="zh-CN"/>
        </w:rPr>
        <w:t>惠州市中医医院</w:t>
      </w:r>
      <w:r>
        <w:rPr>
          <w:rFonts w:hint="eastAsia" w:ascii="仿宋" w:hAnsi="仿宋" w:eastAsia="仿宋"/>
          <w:snapToGrid w:val="0"/>
          <w:kern w:val="0"/>
        </w:rPr>
        <w:t>将以书面形式（包括书面材料、信函、传真等，下同）或在相关媒体上以发布公告的形式，送达所有与通知有关的已领取了招标文件的潜在投标人，传真号码以潜在投标人报名时登记的为准。潜在投标人应于收到通知的当日以书面方式予以回复确认，如在24小时之内无书面回复则视为已收到并同意通知内容，并有责任履行相应的义务。因潜在投标人登记有误或传真线路故障导致通知延迟送达或无法送达，</w:t>
      </w:r>
      <w:r>
        <w:rPr>
          <w:rFonts w:hint="eastAsia" w:ascii="仿宋" w:hAnsi="仿宋" w:eastAsia="仿宋"/>
          <w:lang w:eastAsia="zh-CN"/>
        </w:rPr>
        <w:t>惠州市中医医院</w:t>
      </w:r>
      <w:r>
        <w:rPr>
          <w:rFonts w:hint="eastAsia" w:ascii="仿宋" w:hAnsi="仿宋" w:eastAsia="仿宋"/>
          <w:snapToGrid w:val="0"/>
          <w:kern w:val="0"/>
        </w:rPr>
        <w:t>不承担责任。</w:t>
      </w:r>
    </w:p>
    <w:p>
      <w:pPr>
        <w:pStyle w:val="5"/>
        <w:adjustRightInd w:val="0"/>
        <w:snapToGrid w:val="0"/>
        <w:spacing w:line="276" w:lineRule="auto"/>
        <w:outlineLvl w:val="1"/>
        <w:rPr>
          <w:rFonts w:hint="eastAsia" w:ascii="仿宋" w:hAnsi="仿宋" w:eastAsia="仿宋"/>
          <w:b/>
          <w:szCs w:val="24"/>
        </w:rPr>
      </w:pPr>
      <w:bookmarkStart w:id="4" w:name="_Toc478765521"/>
      <w:r>
        <w:rPr>
          <w:rFonts w:hint="eastAsia" w:ascii="仿宋" w:hAnsi="仿宋" w:eastAsia="仿宋"/>
          <w:b/>
          <w:szCs w:val="24"/>
        </w:rPr>
        <w:t>二、招标文件</w:t>
      </w:r>
      <w:bookmarkEnd w:id="4"/>
    </w:p>
    <w:p>
      <w:pPr>
        <w:spacing w:line="276" w:lineRule="auto"/>
        <w:rPr>
          <w:rFonts w:hint="eastAsia" w:ascii="仿宋" w:hAnsi="仿宋" w:eastAsia="仿宋"/>
        </w:rPr>
      </w:pPr>
      <w:r>
        <w:rPr>
          <w:rFonts w:hint="eastAsia" w:ascii="仿宋" w:hAnsi="仿宋" w:eastAsia="仿宋"/>
        </w:rPr>
        <w:t>1、招标文件的构成</w:t>
      </w:r>
    </w:p>
    <w:p>
      <w:pPr>
        <w:pStyle w:val="5"/>
        <w:adjustRightInd w:val="0"/>
        <w:snapToGrid w:val="0"/>
        <w:spacing w:line="276" w:lineRule="auto"/>
        <w:ind w:left="420" w:leftChars="150" w:hanging="60" w:hangingChars="25"/>
        <w:rPr>
          <w:rFonts w:hint="eastAsia" w:ascii="仿宋" w:hAnsi="仿宋" w:eastAsia="仿宋"/>
          <w:szCs w:val="24"/>
        </w:rPr>
      </w:pPr>
      <w:r>
        <w:rPr>
          <w:rFonts w:hint="eastAsia" w:ascii="仿宋" w:hAnsi="仿宋" w:eastAsia="仿宋"/>
          <w:szCs w:val="24"/>
        </w:rPr>
        <w:t>1.1招标文件由下列文件以及在招标过程中发出的修正和补充文件组成：</w:t>
      </w:r>
    </w:p>
    <w:p>
      <w:pPr>
        <w:pStyle w:val="5"/>
        <w:adjustRightInd w:val="0"/>
        <w:snapToGrid w:val="0"/>
        <w:spacing w:line="276" w:lineRule="auto"/>
        <w:ind w:firstLine="840" w:firstLineChars="350"/>
        <w:rPr>
          <w:rFonts w:hint="eastAsia" w:ascii="仿宋" w:hAnsi="仿宋" w:eastAsia="仿宋"/>
          <w:szCs w:val="24"/>
        </w:rPr>
      </w:pPr>
      <w:r>
        <w:rPr>
          <w:rFonts w:hint="eastAsia" w:ascii="仿宋" w:hAnsi="仿宋" w:eastAsia="仿宋"/>
          <w:szCs w:val="24"/>
        </w:rPr>
        <w:t>1) 投标邀请函</w:t>
      </w:r>
    </w:p>
    <w:p>
      <w:pPr>
        <w:pStyle w:val="5"/>
        <w:adjustRightInd w:val="0"/>
        <w:snapToGrid w:val="0"/>
        <w:spacing w:line="276" w:lineRule="auto"/>
        <w:ind w:firstLine="840" w:firstLineChars="350"/>
        <w:rPr>
          <w:rFonts w:hint="eastAsia" w:ascii="仿宋" w:hAnsi="仿宋" w:eastAsia="仿宋"/>
          <w:szCs w:val="24"/>
        </w:rPr>
      </w:pPr>
      <w:r>
        <w:rPr>
          <w:rFonts w:hint="eastAsia" w:ascii="仿宋" w:hAnsi="仿宋" w:eastAsia="仿宋"/>
          <w:szCs w:val="24"/>
        </w:rPr>
        <w:t>2) 采购项目内容</w:t>
      </w:r>
    </w:p>
    <w:p>
      <w:pPr>
        <w:pStyle w:val="5"/>
        <w:adjustRightInd w:val="0"/>
        <w:snapToGrid w:val="0"/>
        <w:spacing w:line="276" w:lineRule="auto"/>
        <w:ind w:firstLine="840" w:firstLineChars="350"/>
        <w:rPr>
          <w:rFonts w:hint="eastAsia" w:ascii="仿宋" w:hAnsi="仿宋" w:eastAsia="仿宋"/>
          <w:szCs w:val="24"/>
        </w:rPr>
      </w:pPr>
      <w:r>
        <w:rPr>
          <w:rFonts w:hint="eastAsia" w:ascii="仿宋" w:hAnsi="仿宋" w:eastAsia="仿宋"/>
          <w:szCs w:val="24"/>
        </w:rPr>
        <w:t>3) 投标人须知</w:t>
      </w:r>
    </w:p>
    <w:p>
      <w:pPr>
        <w:pStyle w:val="5"/>
        <w:adjustRightInd w:val="0"/>
        <w:snapToGrid w:val="0"/>
        <w:spacing w:line="276" w:lineRule="auto"/>
        <w:ind w:firstLine="840" w:firstLineChars="350"/>
        <w:rPr>
          <w:rFonts w:hint="eastAsia" w:ascii="仿宋" w:hAnsi="仿宋" w:eastAsia="仿宋"/>
          <w:szCs w:val="24"/>
        </w:rPr>
      </w:pPr>
      <w:r>
        <w:rPr>
          <w:rFonts w:hint="eastAsia" w:ascii="仿宋" w:hAnsi="仿宋" w:eastAsia="仿宋"/>
          <w:szCs w:val="24"/>
        </w:rPr>
        <w:t>4) 投标文件格式</w:t>
      </w:r>
    </w:p>
    <w:p>
      <w:pPr>
        <w:pStyle w:val="5"/>
        <w:adjustRightInd w:val="0"/>
        <w:snapToGrid w:val="0"/>
        <w:spacing w:line="276" w:lineRule="auto"/>
        <w:ind w:firstLine="840" w:firstLineChars="350"/>
        <w:rPr>
          <w:rFonts w:hint="eastAsia" w:ascii="仿宋" w:hAnsi="仿宋" w:eastAsia="仿宋"/>
          <w:szCs w:val="24"/>
        </w:rPr>
      </w:pPr>
      <w:r>
        <w:rPr>
          <w:rFonts w:hint="eastAsia" w:ascii="仿宋" w:hAnsi="仿宋" w:eastAsia="仿宋"/>
          <w:szCs w:val="24"/>
        </w:rPr>
        <w:t>5) 在招标过程中由招标采购单位发出的修正和补充文件等。</w:t>
      </w:r>
    </w:p>
    <w:p>
      <w:pPr>
        <w:pStyle w:val="5"/>
        <w:adjustRightInd w:val="0"/>
        <w:snapToGrid w:val="0"/>
        <w:spacing w:line="276" w:lineRule="auto"/>
        <w:ind w:left="780" w:leftChars="150" w:hanging="420" w:hangingChars="175"/>
        <w:rPr>
          <w:rFonts w:hint="eastAsia" w:ascii="仿宋" w:hAnsi="仿宋" w:eastAsia="仿宋"/>
          <w:szCs w:val="24"/>
        </w:rPr>
      </w:pPr>
      <w:r>
        <w:rPr>
          <w:rFonts w:hint="eastAsia" w:ascii="仿宋" w:hAnsi="仿宋" w:eastAsia="仿宋"/>
          <w:szCs w:val="24"/>
        </w:rPr>
        <w:t>1.2投标人应认真阅读、并充分理解招标文件的全部内容（包括所有的补充、修改内容、重要事项、格式、条款和技术规范、参数及要求等）。投标人没有按照招标文件要求提交全部资料，或者投标没有对招标文件在各方面都做出实质性响应是投标人的风险，有可能导致其投标被拒绝，或被认定为无效投标或被确定为投标无效。</w:t>
      </w:r>
    </w:p>
    <w:p>
      <w:pPr>
        <w:pStyle w:val="5"/>
        <w:adjustRightInd w:val="0"/>
        <w:snapToGrid w:val="0"/>
        <w:spacing w:line="276" w:lineRule="auto"/>
        <w:ind w:left="780" w:leftChars="150" w:hanging="420" w:hangingChars="175"/>
        <w:rPr>
          <w:rFonts w:hint="eastAsia" w:ascii="仿宋" w:hAnsi="仿宋" w:eastAsia="仿宋"/>
          <w:szCs w:val="24"/>
        </w:rPr>
      </w:pPr>
      <w:r>
        <w:rPr>
          <w:rFonts w:hint="eastAsia" w:ascii="仿宋" w:hAnsi="仿宋" w:eastAsia="仿宋"/>
          <w:szCs w:val="24"/>
        </w:rPr>
        <w:t>1.3本招标文件中，凡标有“★”号的地方均被视为重要的、实质性的指标要求及性能要求。投标人要特别加以注意，必须对此作出响应。若有一项带“★”号的指标未响应或响应为“负偏离”的，将按无效投标处理。</w:t>
      </w:r>
    </w:p>
    <w:p>
      <w:pPr>
        <w:pStyle w:val="5"/>
        <w:adjustRightInd w:val="0"/>
        <w:snapToGrid w:val="0"/>
        <w:spacing w:line="276" w:lineRule="auto"/>
        <w:ind w:left="780" w:leftChars="150" w:hanging="420" w:hangingChars="175"/>
        <w:rPr>
          <w:rFonts w:hint="eastAsia" w:ascii="仿宋" w:hAnsi="仿宋" w:eastAsia="仿宋"/>
          <w:szCs w:val="24"/>
        </w:rPr>
      </w:pPr>
      <w:r>
        <w:rPr>
          <w:rFonts w:hint="eastAsia" w:ascii="仿宋" w:hAnsi="仿宋" w:eastAsia="仿宋"/>
          <w:szCs w:val="24"/>
        </w:rPr>
        <w:t>1.4本招标文件中，凡标有“</w:t>
      </w:r>
      <w:r>
        <w:rPr>
          <w:rFonts w:hint="eastAsia" w:ascii="仿宋" w:hAnsi="仿宋" w:eastAsia="仿宋" w:cs="宋体"/>
        </w:rPr>
        <w:t>▲</w:t>
      </w:r>
      <w:r>
        <w:rPr>
          <w:rFonts w:hint="eastAsia" w:ascii="仿宋" w:hAnsi="仿宋" w:eastAsia="仿宋"/>
          <w:szCs w:val="24"/>
        </w:rPr>
        <w:t>”号的地方均被视为重要的的指标要求及性能要求。</w:t>
      </w:r>
      <w:r>
        <w:rPr>
          <w:rFonts w:hint="eastAsia" w:ascii="仿宋" w:hAnsi="仿宋" w:eastAsia="仿宋" w:cs="宋体"/>
        </w:rPr>
        <w:t>“▲”号条款为可以偏离的响应条款，将影响投标人的综合分得分。</w:t>
      </w:r>
    </w:p>
    <w:p>
      <w:pPr>
        <w:pStyle w:val="2"/>
        <w:spacing w:before="0" w:after="0" w:line="276" w:lineRule="auto"/>
        <w:rPr>
          <w:rFonts w:hint="eastAsia" w:ascii="仿宋" w:hAnsi="仿宋" w:eastAsia="仿宋"/>
          <w:sz w:val="24"/>
          <w:szCs w:val="24"/>
        </w:rPr>
      </w:pPr>
      <w:bookmarkStart w:id="5" w:name="_Toc478765522"/>
      <w:r>
        <w:rPr>
          <w:rFonts w:hint="eastAsia" w:ascii="仿宋" w:hAnsi="仿宋" w:eastAsia="仿宋"/>
          <w:sz w:val="24"/>
          <w:szCs w:val="24"/>
        </w:rPr>
        <w:t>三、投标文件的编制和数量</w:t>
      </w:r>
      <w:bookmarkEnd w:id="5"/>
    </w:p>
    <w:p>
      <w:pPr>
        <w:pStyle w:val="5"/>
        <w:adjustRightInd w:val="0"/>
        <w:snapToGrid w:val="0"/>
        <w:spacing w:line="276" w:lineRule="auto"/>
        <w:rPr>
          <w:rFonts w:hint="eastAsia" w:ascii="仿宋" w:hAnsi="仿宋" w:eastAsia="仿宋"/>
          <w:snapToGrid w:val="0"/>
          <w:kern w:val="0"/>
          <w:szCs w:val="24"/>
        </w:rPr>
      </w:pPr>
      <w:r>
        <w:rPr>
          <w:rFonts w:hint="eastAsia" w:ascii="仿宋" w:hAnsi="仿宋" w:eastAsia="仿宋"/>
          <w:snapToGrid w:val="0"/>
          <w:kern w:val="0"/>
          <w:szCs w:val="24"/>
        </w:rPr>
        <w:t>1、投标费用</w:t>
      </w:r>
    </w:p>
    <w:p>
      <w:pPr>
        <w:pStyle w:val="5"/>
        <w:adjustRightInd w:val="0"/>
        <w:snapToGrid w:val="0"/>
        <w:spacing w:line="276" w:lineRule="auto"/>
        <w:ind w:left="780" w:leftChars="150" w:hanging="420" w:hangingChars="175"/>
        <w:rPr>
          <w:rFonts w:ascii="仿宋" w:hAnsi="仿宋" w:eastAsia="仿宋"/>
          <w:szCs w:val="24"/>
        </w:rPr>
      </w:pPr>
      <w:r>
        <w:rPr>
          <w:rFonts w:hint="eastAsia" w:ascii="仿宋" w:hAnsi="仿宋" w:eastAsia="仿宋"/>
          <w:szCs w:val="24"/>
        </w:rPr>
        <w:t>1.1 投标人应承担所有与准备和参加投标有关的费用。不论投标的结果如何，采购人均无义务和责任承担这些费用。</w:t>
      </w:r>
    </w:p>
    <w:p>
      <w:pPr>
        <w:pStyle w:val="5"/>
        <w:adjustRightInd w:val="0"/>
        <w:snapToGrid w:val="0"/>
        <w:spacing w:line="276" w:lineRule="auto"/>
        <w:rPr>
          <w:rFonts w:hint="eastAsia" w:ascii="仿宋" w:hAnsi="仿宋" w:eastAsia="仿宋"/>
          <w:szCs w:val="24"/>
        </w:rPr>
      </w:pPr>
      <w:r>
        <w:rPr>
          <w:rFonts w:hint="eastAsia" w:ascii="仿宋" w:hAnsi="仿宋" w:eastAsia="仿宋"/>
          <w:szCs w:val="24"/>
        </w:rPr>
        <w:t>2、投标的语言及计量</w:t>
      </w:r>
    </w:p>
    <w:p>
      <w:pPr>
        <w:pStyle w:val="5"/>
        <w:adjustRightInd w:val="0"/>
        <w:snapToGrid w:val="0"/>
        <w:spacing w:line="276" w:lineRule="auto"/>
        <w:ind w:left="840" w:leftChars="150" w:hanging="480" w:hangingChars="200"/>
        <w:rPr>
          <w:rFonts w:hint="eastAsia" w:ascii="仿宋" w:hAnsi="仿宋" w:eastAsia="仿宋"/>
          <w:szCs w:val="24"/>
        </w:rPr>
      </w:pPr>
      <w:r>
        <w:rPr>
          <w:rFonts w:hint="eastAsia" w:ascii="仿宋" w:hAnsi="仿宋" w:eastAsia="仿宋"/>
          <w:szCs w:val="24"/>
        </w:rPr>
        <w:t>2.1投标人提交的投标文件以及投标人与</w:t>
      </w:r>
      <w:r>
        <w:rPr>
          <w:rFonts w:hint="eastAsia" w:ascii="仿宋" w:hAnsi="仿宋" w:eastAsia="仿宋"/>
        </w:rPr>
        <w:t>采购人</w:t>
      </w:r>
      <w:r>
        <w:rPr>
          <w:rFonts w:hint="eastAsia" w:ascii="仿宋" w:hAnsi="仿宋" w:eastAsia="仿宋"/>
          <w:szCs w:val="24"/>
        </w:rPr>
        <w:t>就有关投标的所有来往函电均应使用中文。投标人提交的支持文件或印刷的资料可以用另一种语言，但相应内容应附有中文翻译本，在解释投标文件的修改内容时以中文翻译本为准。对中文翻译有异议的，以权威机构的译本为准。</w:t>
      </w:r>
    </w:p>
    <w:p>
      <w:pPr>
        <w:pStyle w:val="5"/>
        <w:adjustRightInd w:val="0"/>
        <w:snapToGrid w:val="0"/>
        <w:spacing w:line="276" w:lineRule="auto"/>
        <w:ind w:left="720" w:leftChars="150" w:hanging="360" w:hangingChars="150"/>
        <w:rPr>
          <w:rFonts w:hint="eastAsia" w:ascii="仿宋" w:hAnsi="仿宋" w:eastAsia="仿宋"/>
          <w:szCs w:val="24"/>
        </w:rPr>
      </w:pPr>
      <w:r>
        <w:rPr>
          <w:rFonts w:hint="eastAsia" w:ascii="仿宋" w:hAnsi="仿宋" w:eastAsia="仿宋"/>
          <w:szCs w:val="24"/>
        </w:rPr>
        <w:t>2.2除非招标文件中另有规定，投标人在投标文件中及其与</w:t>
      </w:r>
      <w:r>
        <w:rPr>
          <w:rFonts w:hint="eastAsia" w:ascii="仿宋" w:hAnsi="仿宋" w:eastAsia="仿宋"/>
        </w:rPr>
        <w:t>采购人</w:t>
      </w:r>
      <w:r>
        <w:rPr>
          <w:rFonts w:hint="eastAsia" w:ascii="仿宋" w:hAnsi="仿宋" w:eastAsia="仿宋"/>
          <w:szCs w:val="24"/>
        </w:rPr>
        <w:t>的所有来往文件中的计量单位均应采用中华人民共和国法定计量单位。</w:t>
      </w:r>
    </w:p>
    <w:p>
      <w:pPr>
        <w:pStyle w:val="5"/>
        <w:adjustRightInd w:val="0"/>
        <w:snapToGrid w:val="0"/>
        <w:spacing w:line="276" w:lineRule="auto"/>
        <w:rPr>
          <w:rFonts w:hint="eastAsia" w:ascii="仿宋" w:hAnsi="仿宋" w:eastAsia="仿宋"/>
          <w:szCs w:val="24"/>
        </w:rPr>
      </w:pPr>
      <w:r>
        <w:rPr>
          <w:rFonts w:hint="eastAsia" w:ascii="仿宋" w:hAnsi="仿宋" w:eastAsia="仿宋"/>
          <w:szCs w:val="24"/>
        </w:rPr>
        <w:t>3、投标文件的构成</w:t>
      </w:r>
    </w:p>
    <w:p>
      <w:pPr>
        <w:pStyle w:val="5"/>
        <w:adjustRightInd w:val="0"/>
        <w:snapToGrid w:val="0"/>
        <w:spacing w:line="276" w:lineRule="auto"/>
        <w:ind w:left="300" w:leftChars="125"/>
        <w:rPr>
          <w:rFonts w:hint="eastAsia" w:ascii="仿宋" w:hAnsi="仿宋" w:eastAsia="仿宋"/>
          <w:szCs w:val="24"/>
        </w:rPr>
      </w:pPr>
      <w:r>
        <w:rPr>
          <w:rFonts w:hint="eastAsia" w:ascii="仿宋" w:hAnsi="仿宋" w:eastAsia="仿宋"/>
          <w:szCs w:val="24"/>
        </w:rPr>
        <w:t>投标人编制的投标文件应包括但不少于招标文件第四部分《投标文件格式》的所有内容。</w:t>
      </w:r>
    </w:p>
    <w:p>
      <w:pPr>
        <w:pStyle w:val="5"/>
        <w:adjustRightInd w:val="0"/>
        <w:snapToGrid w:val="0"/>
        <w:spacing w:line="276" w:lineRule="auto"/>
        <w:rPr>
          <w:rFonts w:hint="eastAsia" w:ascii="仿宋" w:hAnsi="仿宋" w:eastAsia="仿宋"/>
          <w:szCs w:val="24"/>
        </w:rPr>
      </w:pPr>
      <w:r>
        <w:rPr>
          <w:rFonts w:hint="eastAsia" w:ascii="仿宋" w:hAnsi="仿宋" w:eastAsia="仿宋"/>
          <w:szCs w:val="24"/>
        </w:rPr>
        <w:t>4、投标文件编制</w:t>
      </w:r>
    </w:p>
    <w:p>
      <w:pPr>
        <w:pStyle w:val="5"/>
        <w:adjustRightInd w:val="0"/>
        <w:snapToGrid w:val="0"/>
        <w:spacing w:line="276" w:lineRule="auto"/>
        <w:ind w:left="360" w:leftChars="150"/>
        <w:rPr>
          <w:rFonts w:hint="eastAsia" w:ascii="仿宋" w:hAnsi="仿宋" w:eastAsia="仿宋"/>
          <w:szCs w:val="24"/>
        </w:rPr>
      </w:pPr>
      <w:r>
        <w:rPr>
          <w:rFonts w:hint="eastAsia" w:ascii="仿宋" w:hAnsi="仿宋" w:eastAsia="仿宋"/>
          <w:szCs w:val="24"/>
        </w:rPr>
        <w:t>4.1投标人应按本须知“3、投标文件的构成”编制投标文件。</w:t>
      </w:r>
    </w:p>
    <w:p>
      <w:pPr>
        <w:pStyle w:val="5"/>
        <w:adjustRightInd w:val="0"/>
        <w:snapToGrid w:val="0"/>
        <w:spacing w:line="276" w:lineRule="auto"/>
        <w:ind w:left="840" w:leftChars="150" w:hanging="480" w:hangingChars="200"/>
        <w:rPr>
          <w:rFonts w:hint="eastAsia" w:ascii="仿宋" w:hAnsi="仿宋" w:eastAsia="仿宋"/>
          <w:color w:val="000000"/>
          <w:szCs w:val="24"/>
        </w:rPr>
      </w:pPr>
      <w:r>
        <w:rPr>
          <w:rFonts w:hint="eastAsia" w:ascii="仿宋" w:hAnsi="仿宋" w:eastAsia="仿宋"/>
          <w:color w:val="000000"/>
          <w:szCs w:val="24"/>
        </w:rPr>
        <w:t>4.2投标人应当对投标文件进行装订，对未经装订的投标文件可能发生的文件散落或缺损，由此产生的后果由投标人承担。</w:t>
      </w:r>
    </w:p>
    <w:p>
      <w:pPr>
        <w:pStyle w:val="5"/>
        <w:adjustRightInd w:val="0"/>
        <w:snapToGrid w:val="0"/>
        <w:spacing w:line="276" w:lineRule="auto"/>
        <w:ind w:left="720" w:leftChars="150" w:hanging="360" w:hangingChars="150"/>
        <w:rPr>
          <w:rFonts w:hint="eastAsia" w:ascii="仿宋" w:hAnsi="仿宋" w:eastAsia="仿宋"/>
          <w:szCs w:val="24"/>
        </w:rPr>
      </w:pPr>
      <w:r>
        <w:rPr>
          <w:rFonts w:hint="eastAsia" w:ascii="仿宋" w:hAnsi="仿宋" w:eastAsia="仿宋"/>
          <w:szCs w:val="24"/>
        </w:rPr>
        <w:t>4.3投标人必须对投标文件所提供的全部资料的真实性承担法律责任，并无条件接受</w:t>
      </w:r>
      <w:r>
        <w:rPr>
          <w:rFonts w:hint="eastAsia" w:ascii="仿宋" w:hAnsi="仿宋" w:eastAsia="仿宋"/>
          <w:snapToGrid w:val="0"/>
          <w:kern w:val="0"/>
          <w:u w:val="single"/>
        </w:rPr>
        <w:t>采购人</w:t>
      </w:r>
      <w:r>
        <w:rPr>
          <w:rFonts w:hint="eastAsia" w:ascii="仿宋" w:hAnsi="仿宋" w:eastAsia="仿宋"/>
          <w:szCs w:val="24"/>
        </w:rPr>
        <w:t>对其中任何资料进行核实的要求。投标人必须对投标文件所提供的全部资料的真实性承担法律责任。</w:t>
      </w:r>
    </w:p>
    <w:p>
      <w:pPr>
        <w:pStyle w:val="5"/>
        <w:adjustRightInd w:val="0"/>
        <w:snapToGrid w:val="0"/>
        <w:spacing w:line="276" w:lineRule="auto"/>
        <w:ind w:left="720" w:leftChars="150" w:hanging="360" w:hangingChars="150"/>
        <w:rPr>
          <w:rFonts w:hint="eastAsia" w:ascii="仿宋" w:hAnsi="仿宋" w:eastAsia="仿宋"/>
          <w:szCs w:val="24"/>
        </w:rPr>
      </w:pPr>
      <w:r>
        <w:rPr>
          <w:rFonts w:hint="eastAsia" w:ascii="仿宋" w:hAnsi="仿宋" w:eastAsia="仿宋"/>
          <w:szCs w:val="24"/>
        </w:rPr>
        <w:t>4.4如果因为投标人投标文件填报的内容不详，或没有提供招标文件中所要求的全部资料及数据，由此造成的后果，其责任由投标人承担。</w:t>
      </w:r>
    </w:p>
    <w:p>
      <w:pPr>
        <w:pStyle w:val="5"/>
        <w:adjustRightInd w:val="0"/>
        <w:snapToGrid w:val="0"/>
        <w:spacing w:line="276" w:lineRule="auto"/>
        <w:rPr>
          <w:rFonts w:hint="eastAsia" w:ascii="仿宋" w:hAnsi="仿宋" w:eastAsia="仿宋"/>
          <w:szCs w:val="24"/>
        </w:rPr>
      </w:pPr>
      <w:r>
        <w:rPr>
          <w:rFonts w:hint="eastAsia" w:ascii="仿宋" w:hAnsi="仿宋" w:eastAsia="仿宋"/>
          <w:szCs w:val="24"/>
        </w:rPr>
        <w:t>5、投标报价</w:t>
      </w:r>
    </w:p>
    <w:p>
      <w:pPr>
        <w:pStyle w:val="5"/>
        <w:adjustRightInd w:val="0"/>
        <w:snapToGrid w:val="0"/>
        <w:spacing w:line="276" w:lineRule="auto"/>
        <w:ind w:left="360" w:leftChars="150"/>
        <w:rPr>
          <w:rFonts w:hint="eastAsia" w:ascii="仿宋" w:hAnsi="仿宋" w:eastAsia="仿宋"/>
          <w:szCs w:val="24"/>
        </w:rPr>
      </w:pPr>
      <w:r>
        <w:rPr>
          <w:rFonts w:hint="eastAsia" w:ascii="仿宋" w:hAnsi="仿宋" w:eastAsia="仿宋"/>
          <w:szCs w:val="24"/>
        </w:rPr>
        <w:t>5</w:t>
      </w:r>
      <w:r>
        <w:rPr>
          <w:rFonts w:ascii="仿宋" w:hAnsi="仿宋" w:eastAsia="仿宋"/>
          <w:szCs w:val="24"/>
        </w:rPr>
        <w:t>.1</w:t>
      </w:r>
      <w:r>
        <w:rPr>
          <w:rFonts w:hint="eastAsia" w:ascii="仿宋" w:hAnsi="仿宋" w:eastAsia="仿宋"/>
          <w:szCs w:val="24"/>
        </w:rPr>
        <w:t>如招标文件无特殊规定，投标价格以人民币填报。</w:t>
      </w:r>
    </w:p>
    <w:p>
      <w:pPr>
        <w:pStyle w:val="5"/>
        <w:adjustRightInd w:val="0"/>
        <w:snapToGrid w:val="0"/>
        <w:spacing w:line="276" w:lineRule="auto"/>
        <w:ind w:left="960" w:leftChars="150" w:hanging="600" w:hangingChars="250"/>
        <w:rPr>
          <w:rFonts w:hint="eastAsia" w:ascii="仿宋" w:hAnsi="仿宋" w:eastAsia="仿宋"/>
          <w:szCs w:val="24"/>
        </w:rPr>
      </w:pPr>
      <w:r>
        <w:rPr>
          <w:rFonts w:hint="eastAsia" w:ascii="仿宋" w:hAnsi="仿宋" w:eastAsia="仿宋"/>
          <w:szCs w:val="24"/>
        </w:rPr>
        <w:t>5.2《投标明细报价表》填写时应响应下列要求，投标人漏报或不报，采购人将视为该漏报或不报部分的费用已包括在已报的分项报价中而不予支付：</w:t>
      </w:r>
    </w:p>
    <w:p>
      <w:pPr>
        <w:pStyle w:val="5"/>
        <w:adjustRightInd w:val="0"/>
        <w:snapToGrid w:val="0"/>
        <w:spacing w:line="276" w:lineRule="auto"/>
        <w:ind w:left="1440" w:leftChars="300" w:hanging="720" w:hangingChars="300"/>
        <w:rPr>
          <w:rFonts w:hint="eastAsia" w:ascii="仿宋" w:hAnsi="仿宋" w:eastAsia="仿宋"/>
          <w:szCs w:val="24"/>
        </w:rPr>
      </w:pPr>
      <w:r>
        <w:rPr>
          <w:rFonts w:hint="eastAsia" w:ascii="仿宋" w:hAnsi="仿宋" w:eastAsia="仿宋"/>
          <w:szCs w:val="24"/>
        </w:rPr>
        <w:t>5.2.1投标报价应为包括项目采用人民币报价，以每份病案为单位报价。报价包含了项目实施中的人员、设备、管理软件、技术支持与售后服务、税金等各项费用。</w:t>
      </w:r>
    </w:p>
    <w:p>
      <w:pPr>
        <w:pStyle w:val="5"/>
        <w:adjustRightInd w:val="0"/>
        <w:snapToGrid w:val="0"/>
        <w:spacing w:line="276" w:lineRule="auto"/>
        <w:ind w:left="1440" w:leftChars="300" w:hanging="720" w:hangingChars="300"/>
        <w:rPr>
          <w:rFonts w:hint="eastAsia" w:ascii="仿宋" w:hAnsi="仿宋" w:eastAsia="仿宋"/>
          <w:szCs w:val="24"/>
        </w:rPr>
      </w:pPr>
      <w:r>
        <w:rPr>
          <w:rFonts w:hint="eastAsia" w:ascii="仿宋" w:hAnsi="仿宋" w:eastAsia="仿宋"/>
          <w:szCs w:val="24"/>
        </w:rPr>
        <w:t>5.2.2投标人不得以低于成本的报价竞标，若投标报价比采购预算价低35%（含35%）以上的，投标人必须在其投标文件中作出合理说明并提供相关证明材料；投标人不能合理说明或不能提供相关证明材料的，经评审委员会对投标报价的成本清单评定，认为投标报价与市场报价存在较大差异且投标人对履约能力方面无合理说明的，将视为不符合资格性、符合性审查所列的对应的情形。该项目招标文件对投标报价提出特别要求的除外。</w:t>
      </w:r>
    </w:p>
    <w:p>
      <w:pPr>
        <w:pStyle w:val="5"/>
        <w:adjustRightInd w:val="0"/>
        <w:snapToGrid w:val="0"/>
        <w:spacing w:line="276" w:lineRule="auto"/>
        <w:ind w:left="480" w:leftChars="200" w:firstLine="240" w:firstLineChars="100"/>
        <w:rPr>
          <w:rFonts w:hint="eastAsia" w:ascii="仿宋" w:hAnsi="仿宋" w:eastAsia="仿宋"/>
          <w:szCs w:val="24"/>
        </w:rPr>
      </w:pPr>
      <w:r>
        <w:rPr>
          <w:rFonts w:hint="eastAsia" w:ascii="仿宋" w:hAnsi="仿宋" w:eastAsia="仿宋"/>
          <w:szCs w:val="24"/>
        </w:rPr>
        <w:t>5.2.3对于报价免费的项目必须标明“免费”。</w:t>
      </w:r>
    </w:p>
    <w:p>
      <w:pPr>
        <w:pStyle w:val="5"/>
        <w:adjustRightInd w:val="0"/>
        <w:snapToGrid w:val="0"/>
        <w:spacing w:line="276" w:lineRule="auto"/>
        <w:ind w:firstLine="360" w:firstLineChars="150"/>
        <w:rPr>
          <w:rFonts w:hint="eastAsia" w:ascii="仿宋" w:hAnsi="仿宋" w:eastAsia="仿宋"/>
          <w:szCs w:val="24"/>
        </w:rPr>
      </w:pPr>
      <w:r>
        <w:rPr>
          <w:rFonts w:hint="eastAsia" w:ascii="仿宋" w:hAnsi="仿宋" w:eastAsia="仿宋"/>
          <w:szCs w:val="24"/>
        </w:rPr>
        <w:t>5.3任何有选择性报价的投标，将被视为无效投标。</w:t>
      </w:r>
    </w:p>
    <w:p>
      <w:pPr>
        <w:pStyle w:val="5"/>
        <w:adjustRightInd w:val="0"/>
        <w:snapToGrid w:val="0"/>
        <w:spacing w:line="276" w:lineRule="auto"/>
        <w:rPr>
          <w:rFonts w:hint="eastAsia" w:ascii="仿宋" w:hAnsi="仿宋" w:eastAsia="仿宋"/>
          <w:szCs w:val="24"/>
        </w:rPr>
      </w:pPr>
      <w:r>
        <w:rPr>
          <w:rFonts w:hint="eastAsia" w:ascii="仿宋" w:hAnsi="仿宋" w:eastAsia="仿宋"/>
          <w:szCs w:val="24"/>
        </w:rPr>
        <w:t>6、备选方案</w:t>
      </w:r>
    </w:p>
    <w:p>
      <w:pPr>
        <w:pStyle w:val="5"/>
        <w:adjustRightInd w:val="0"/>
        <w:snapToGrid w:val="0"/>
        <w:spacing w:line="276" w:lineRule="auto"/>
        <w:ind w:left="360" w:leftChars="150"/>
        <w:rPr>
          <w:rFonts w:hint="eastAsia" w:ascii="仿宋" w:hAnsi="仿宋" w:eastAsia="仿宋"/>
          <w:szCs w:val="24"/>
        </w:rPr>
      </w:pPr>
      <w:r>
        <w:rPr>
          <w:rFonts w:hint="eastAsia" w:ascii="仿宋" w:hAnsi="仿宋" w:eastAsia="仿宋"/>
          <w:szCs w:val="24"/>
        </w:rPr>
        <w:t>除招标文件第二部分项目要求另有规定，本项目只允许投标人有一个投标方案，否则将被视为无效投标。</w:t>
      </w:r>
    </w:p>
    <w:p>
      <w:pPr>
        <w:pStyle w:val="5"/>
        <w:adjustRightInd w:val="0"/>
        <w:snapToGrid w:val="0"/>
        <w:spacing w:line="276" w:lineRule="auto"/>
        <w:rPr>
          <w:rFonts w:hint="eastAsia" w:ascii="仿宋" w:hAnsi="仿宋" w:eastAsia="仿宋"/>
          <w:szCs w:val="24"/>
        </w:rPr>
      </w:pPr>
      <w:r>
        <w:rPr>
          <w:rFonts w:hint="eastAsia" w:ascii="仿宋" w:hAnsi="仿宋" w:eastAsia="仿宋"/>
          <w:szCs w:val="24"/>
        </w:rPr>
        <w:t>7、联合体投标</w:t>
      </w:r>
    </w:p>
    <w:p>
      <w:pPr>
        <w:pStyle w:val="5"/>
        <w:adjustRightInd w:val="0"/>
        <w:snapToGrid w:val="0"/>
        <w:spacing w:line="276" w:lineRule="auto"/>
        <w:ind w:left="360" w:leftChars="150"/>
        <w:rPr>
          <w:rFonts w:hint="eastAsia" w:ascii="仿宋" w:hAnsi="仿宋" w:eastAsia="仿宋"/>
          <w:color w:val="000000"/>
          <w:kern w:val="0"/>
          <w:szCs w:val="24"/>
        </w:rPr>
      </w:pPr>
      <w:r>
        <w:rPr>
          <w:rFonts w:hint="eastAsia" w:ascii="仿宋" w:hAnsi="仿宋" w:eastAsia="仿宋"/>
          <w:color w:val="000000"/>
          <w:kern w:val="0"/>
          <w:szCs w:val="24"/>
        </w:rPr>
        <w:t>本项目不接受联合体投标。</w:t>
      </w:r>
    </w:p>
    <w:p>
      <w:pPr>
        <w:pStyle w:val="5"/>
        <w:adjustRightInd w:val="0"/>
        <w:snapToGrid w:val="0"/>
        <w:spacing w:line="276" w:lineRule="auto"/>
        <w:rPr>
          <w:rFonts w:hint="eastAsia" w:ascii="仿宋" w:hAnsi="仿宋" w:eastAsia="仿宋"/>
          <w:szCs w:val="24"/>
        </w:rPr>
      </w:pPr>
      <w:r>
        <w:rPr>
          <w:rFonts w:hint="eastAsia" w:ascii="仿宋" w:hAnsi="仿宋" w:eastAsia="仿宋"/>
          <w:szCs w:val="24"/>
        </w:rPr>
        <w:t>8、投标人资格证明文件</w:t>
      </w:r>
    </w:p>
    <w:p>
      <w:pPr>
        <w:autoSpaceDE w:val="0"/>
        <w:autoSpaceDN w:val="0"/>
        <w:adjustRightInd w:val="0"/>
        <w:snapToGrid w:val="0"/>
        <w:spacing w:line="276" w:lineRule="auto"/>
        <w:ind w:left="1260" w:leftChars="175" w:right="32" w:hanging="840" w:hangingChars="350"/>
        <w:rPr>
          <w:rFonts w:hint="eastAsia" w:ascii="仿宋" w:hAnsi="仿宋" w:eastAsia="仿宋"/>
          <w:b/>
          <w:color w:val="FF0000"/>
          <w:kern w:val="0"/>
        </w:rPr>
      </w:pPr>
      <w:r>
        <w:rPr>
          <w:rFonts w:hint="eastAsia" w:ascii="仿宋" w:hAnsi="仿宋" w:eastAsia="仿宋"/>
        </w:rPr>
        <w:t xml:space="preserve">   8.1投标人应按招标文件的要求，提交证明其有资格参加投标和中标后有履行合同能力的文件，并作为其投标文件的组成部分，</w:t>
      </w:r>
      <w:r>
        <w:rPr>
          <w:rFonts w:hint="eastAsia" w:ascii="仿宋" w:hAnsi="仿宋" w:eastAsia="仿宋"/>
          <w:kern w:val="0"/>
        </w:rPr>
        <w:t>包括但不限于下列文件：</w:t>
      </w:r>
      <w:r>
        <w:rPr>
          <w:rFonts w:hint="eastAsia" w:ascii="仿宋" w:hAnsi="仿宋" w:eastAsia="仿宋"/>
          <w:b/>
          <w:color w:val="FF0000"/>
          <w:kern w:val="0"/>
        </w:rPr>
        <w:t xml:space="preserve"> </w:t>
      </w:r>
    </w:p>
    <w:p>
      <w:pPr>
        <w:pStyle w:val="5"/>
        <w:adjustRightInd w:val="0"/>
        <w:snapToGrid w:val="0"/>
        <w:spacing w:line="276" w:lineRule="auto"/>
        <w:ind w:left="480" w:leftChars="200" w:firstLine="120" w:firstLineChars="50"/>
        <w:rPr>
          <w:rFonts w:hint="eastAsia" w:ascii="仿宋" w:hAnsi="仿宋" w:eastAsia="仿宋"/>
          <w:color w:val="000000"/>
          <w:kern w:val="0"/>
          <w:szCs w:val="24"/>
        </w:rPr>
      </w:pPr>
      <w:r>
        <w:rPr>
          <w:rFonts w:hint="eastAsia" w:ascii="仿宋" w:hAnsi="仿宋" w:eastAsia="仿宋"/>
          <w:color w:val="000000"/>
          <w:kern w:val="0"/>
          <w:szCs w:val="24"/>
        </w:rPr>
        <w:t>（1）投标函；</w:t>
      </w:r>
    </w:p>
    <w:p>
      <w:pPr>
        <w:pStyle w:val="5"/>
        <w:adjustRightInd w:val="0"/>
        <w:snapToGrid w:val="0"/>
        <w:spacing w:line="276" w:lineRule="auto"/>
        <w:ind w:left="1140" w:hanging="1140" w:hangingChars="475"/>
        <w:rPr>
          <w:rFonts w:hint="eastAsia" w:ascii="仿宋" w:hAnsi="仿宋" w:eastAsia="仿宋"/>
          <w:color w:val="000000"/>
          <w:kern w:val="0"/>
          <w:szCs w:val="24"/>
        </w:rPr>
      </w:pPr>
      <w:r>
        <w:rPr>
          <w:rFonts w:hint="eastAsia" w:ascii="仿宋" w:hAnsi="仿宋" w:eastAsia="仿宋"/>
          <w:color w:val="000000"/>
          <w:kern w:val="0"/>
          <w:szCs w:val="24"/>
        </w:rPr>
        <w:t xml:space="preserve">     （2）最新年审的投标人营业执照副本、税务登记证副本(国税、地税)、组织机构代码证副本复印件(已领取三证合一营业执照的企业只需提供营业执照副本)； </w:t>
      </w:r>
    </w:p>
    <w:p>
      <w:pPr>
        <w:pStyle w:val="5"/>
        <w:adjustRightInd w:val="0"/>
        <w:snapToGrid w:val="0"/>
        <w:spacing w:line="276" w:lineRule="auto"/>
        <w:ind w:left="480" w:leftChars="200" w:firstLine="120" w:firstLineChars="50"/>
        <w:rPr>
          <w:rFonts w:hint="eastAsia" w:ascii="仿宋" w:hAnsi="仿宋" w:eastAsia="仿宋"/>
          <w:color w:val="000000"/>
          <w:kern w:val="0"/>
          <w:szCs w:val="24"/>
        </w:rPr>
      </w:pPr>
      <w:r>
        <w:rPr>
          <w:rFonts w:hint="eastAsia" w:ascii="仿宋" w:hAnsi="仿宋" w:eastAsia="仿宋"/>
          <w:color w:val="000000"/>
          <w:kern w:val="0"/>
          <w:szCs w:val="24"/>
        </w:rPr>
        <w:t>（3）法定代表人授权书原件（含授权代表身份证复印件）；</w:t>
      </w:r>
    </w:p>
    <w:p>
      <w:pPr>
        <w:tabs>
          <w:tab w:val="left" w:pos="8280"/>
        </w:tabs>
        <w:autoSpaceDE w:val="0"/>
        <w:autoSpaceDN w:val="0"/>
        <w:adjustRightInd w:val="0"/>
        <w:snapToGrid w:val="0"/>
        <w:spacing w:line="276" w:lineRule="auto"/>
        <w:ind w:left="540" w:right="32" w:hanging="540" w:hangingChars="225"/>
        <w:rPr>
          <w:rFonts w:hint="eastAsia" w:ascii="仿宋" w:hAnsi="仿宋" w:eastAsia="仿宋"/>
          <w:kern w:val="0"/>
        </w:rPr>
      </w:pPr>
      <w:r>
        <w:rPr>
          <w:rFonts w:hint="eastAsia" w:ascii="仿宋" w:hAnsi="仿宋" w:eastAsia="仿宋"/>
        </w:rPr>
        <w:t>9、</w:t>
      </w:r>
      <w:r>
        <w:rPr>
          <w:rFonts w:hint="eastAsia" w:ascii="仿宋" w:hAnsi="仿宋" w:eastAsia="仿宋"/>
          <w:kern w:val="0"/>
        </w:rPr>
        <w:t>投标的截止期、投标有效期</w:t>
      </w:r>
    </w:p>
    <w:p>
      <w:pPr>
        <w:tabs>
          <w:tab w:val="left" w:pos="8280"/>
        </w:tabs>
        <w:autoSpaceDE w:val="0"/>
        <w:autoSpaceDN w:val="0"/>
        <w:adjustRightInd w:val="0"/>
        <w:snapToGrid w:val="0"/>
        <w:spacing w:line="276" w:lineRule="auto"/>
        <w:ind w:left="540" w:leftChars="200" w:right="32" w:hanging="60" w:hangingChars="25"/>
        <w:rPr>
          <w:rFonts w:hint="eastAsia" w:ascii="仿宋" w:hAnsi="仿宋" w:eastAsia="仿宋"/>
          <w:kern w:val="0"/>
        </w:rPr>
      </w:pPr>
      <w:r>
        <w:rPr>
          <w:rFonts w:hint="eastAsia" w:ascii="仿宋" w:hAnsi="仿宋" w:eastAsia="仿宋"/>
          <w:kern w:val="0"/>
        </w:rPr>
        <w:t>11.1投标的截止时间为</w:t>
      </w:r>
      <w:r>
        <w:rPr>
          <w:rFonts w:ascii="仿宋" w:hAnsi="仿宋" w:eastAsia="仿宋"/>
          <w:color w:val="000000"/>
          <w:kern w:val="0"/>
        </w:rPr>
        <w:t>201</w:t>
      </w:r>
      <w:r>
        <w:rPr>
          <w:rFonts w:hint="eastAsia" w:ascii="仿宋" w:hAnsi="仿宋" w:eastAsia="仿宋"/>
          <w:color w:val="000000"/>
          <w:kern w:val="0"/>
          <w:lang w:val="en-US" w:eastAsia="zh-CN"/>
        </w:rPr>
        <w:t>8</w:t>
      </w:r>
      <w:r>
        <w:rPr>
          <w:rFonts w:hint="eastAsia" w:ascii="仿宋" w:hAnsi="仿宋" w:eastAsia="仿宋"/>
          <w:color w:val="000000"/>
          <w:kern w:val="0"/>
        </w:rPr>
        <w:t>年</w:t>
      </w:r>
      <w:r>
        <w:rPr>
          <w:rFonts w:hint="eastAsia" w:ascii="仿宋" w:hAnsi="仿宋" w:eastAsia="仿宋"/>
          <w:color w:val="000000"/>
          <w:kern w:val="0"/>
          <w:lang w:val="en-US" w:eastAsia="zh-CN"/>
        </w:rPr>
        <w:t xml:space="preserve"> 11</w:t>
      </w:r>
      <w:r>
        <w:rPr>
          <w:rFonts w:hint="eastAsia" w:ascii="仿宋" w:hAnsi="仿宋" w:eastAsia="仿宋"/>
          <w:color w:val="000000"/>
          <w:kern w:val="0"/>
        </w:rPr>
        <w:t>月</w:t>
      </w:r>
      <w:r>
        <w:rPr>
          <w:rFonts w:hint="eastAsia" w:ascii="仿宋" w:hAnsi="仿宋" w:eastAsia="仿宋"/>
          <w:color w:val="000000"/>
          <w:kern w:val="0"/>
          <w:lang w:val="en-US" w:eastAsia="zh-CN"/>
        </w:rPr>
        <w:t>29</w:t>
      </w:r>
      <w:bookmarkStart w:id="10" w:name="_GoBack"/>
      <w:bookmarkEnd w:id="10"/>
      <w:r>
        <w:rPr>
          <w:rFonts w:hint="eastAsia" w:ascii="仿宋" w:hAnsi="仿宋" w:eastAsia="仿宋"/>
          <w:color w:val="000000"/>
          <w:kern w:val="0"/>
          <w:lang w:val="en-US" w:eastAsia="zh-CN"/>
        </w:rPr>
        <w:t xml:space="preserve"> </w:t>
      </w:r>
      <w:r>
        <w:rPr>
          <w:rFonts w:hint="eastAsia" w:ascii="仿宋" w:hAnsi="仿宋" w:eastAsia="仿宋"/>
          <w:color w:val="000000"/>
          <w:kern w:val="0"/>
        </w:rPr>
        <w:t>日</w:t>
      </w:r>
      <w:r>
        <w:rPr>
          <w:rFonts w:hint="eastAsia" w:ascii="仿宋" w:hAnsi="仿宋" w:eastAsia="仿宋"/>
          <w:color w:val="000000"/>
          <w:kern w:val="0"/>
          <w:lang w:eastAsia="zh-CN"/>
        </w:rPr>
        <w:t>下午</w:t>
      </w:r>
      <w:r>
        <w:rPr>
          <w:rFonts w:hint="eastAsia" w:ascii="仿宋" w:hAnsi="仿宋" w:eastAsia="仿宋"/>
          <w:color w:val="000000"/>
          <w:kern w:val="0"/>
          <w:lang w:val="en-US" w:eastAsia="zh-CN"/>
        </w:rPr>
        <w:t>15：00（北京时间）</w:t>
      </w:r>
      <w:r>
        <w:rPr>
          <w:rFonts w:hint="eastAsia" w:ascii="仿宋" w:hAnsi="仿宋" w:eastAsia="仿宋"/>
          <w:kern w:val="0"/>
        </w:rPr>
        <w:t>，</w:t>
      </w:r>
      <w:r>
        <w:rPr>
          <w:rFonts w:hint="eastAsia" w:ascii="仿宋" w:hAnsi="仿宋" w:eastAsia="仿宋"/>
          <w:b/>
          <w:kern w:val="0"/>
        </w:rPr>
        <w:t>超过截止时间后的投标为无效投标</w:t>
      </w:r>
      <w:r>
        <w:rPr>
          <w:rFonts w:hint="eastAsia" w:ascii="仿宋" w:hAnsi="仿宋" w:eastAsia="仿宋"/>
          <w:kern w:val="0"/>
        </w:rPr>
        <w:t>。</w:t>
      </w:r>
    </w:p>
    <w:p>
      <w:pPr>
        <w:tabs>
          <w:tab w:val="left" w:pos="8280"/>
        </w:tabs>
        <w:autoSpaceDE w:val="0"/>
        <w:autoSpaceDN w:val="0"/>
        <w:adjustRightInd w:val="0"/>
        <w:snapToGrid w:val="0"/>
        <w:spacing w:line="276" w:lineRule="auto"/>
        <w:ind w:left="960" w:leftChars="200" w:right="32" w:hanging="480" w:hangingChars="200"/>
        <w:rPr>
          <w:rFonts w:hint="eastAsia" w:ascii="仿宋" w:hAnsi="仿宋" w:eastAsia="仿宋"/>
          <w:b/>
          <w:kern w:val="0"/>
        </w:rPr>
      </w:pPr>
      <w:r>
        <w:rPr>
          <w:rFonts w:hint="eastAsia" w:ascii="仿宋" w:hAnsi="仿宋" w:eastAsia="仿宋"/>
          <w:kern w:val="0"/>
        </w:rPr>
        <w:t>11.2投标文件应在开标之</w:t>
      </w:r>
      <w:r>
        <w:rPr>
          <w:rFonts w:hint="eastAsia" w:ascii="仿宋" w:hAnsi="仿宋" w:eastAsia="仿宋"/>
          <w:color w:val="000000"/>
          <w:kern w:val="0"/>
        </w:rPr>
        <w:t>日起</w:t>
      </w:r>
      <w:r>
        <w:rPr>
          <w:rFonts w:hint="eastAsia" w:ascii="仿宋" w:hAnsi="仿宋" w:eastAsia="仿宋"/>
          <w:color w:val="000000"/>
          <w:kern w:val="0"/>
          <w:u w:val="single"/>
        </w:rPr>
        <w:t xml:space="preserve">  90  </w:t>
      </w:r>
      <w:r>
        <w:rPr>
          <w:rFonts w:hint="eastAsia" w:ascii="仿宋" w:hAnsi="仿宋" w:eastAsia="仿宋"/>
          <w:color w:val="000000"/>
          <w:kern w:val="0"/>
        </w:rPr>
        <w:t>天内保</w:t>
      </w:r>
      <w:r>
        <w:rPr>
          <w:rFonts w:hint="eastAsia" w:ascii="仿宋" w:hAnsi="仿宋" w:eastAsia="仿宋"/>
          <w:kern w:val="0"/>
        </w:rPr>
        <w:t>持有效。</w:t>
      </w:r>
      <w:r>
        <w:rPr>
          <w:rFonts w:hint="eastAsia" w:ascii="仿宋" w:hAnsi="仿宋" w:eastAsia="仿宋"/>
          <w:b/>
          <w:kern w:val="0"/>
        </w:rPr>
        <w:t>投标有效期比规定时间短的将被作为非实质性响应招标文件而予以拒绝。</w:t>
      </w:r>
    </w:p>
    <w:p>
      <w:pPr>
        <w:tabs>
          <w:tab w:val="left" w:pos="8280"/>
        </w:tabs>
        <w:autoSpaceDE w:val="0"/>
        <w:autoSpaceDN w:val="0"/>
        <w:adjustRightInd w:val="0"/>
        <w:snapToGrid w:val="0"/>
        <w:spacing w:line="276" w:lineRule="auto"/>
        <w:ind w:left="960" w:leftChars="200" w:right="32" w:hanging="480" w:hangingChars="200"/>
        <w:rPr>
          <w:rFonts w:hint="eastAsia" w:ascii="仿宋" w:hAnsi="仿宋" w:eastAsia="仿宋"/>
          <w:kern w:val="0"/>
        </w:rPr>
      </w:pPr>
      <w:r>
        <w:rPr>
          <w:rFonts w:hint="eastAsia" w:ascii="仿宋" w:hAnsi="仿宋" w:eastAsia="仿宋"/>
          <w:kern w:val="0"/>
        </w:rPr>
        <w:t>11.3特殊情况下，采购人可于投标有效期满之前，要求投标人同意延长有效期，要求与答复均应为书面形式。投标人可以拒绝上述延长投标有效期的要求。对于同意该要求的投标人，既不要求也不允许其修改投标文件。</w:t>
      </w:r>
    </w:p>
    <w:p>
      <w:pPr>
        <w:autoSpaceDE w:val="0"/>
        <w:autoSpaceDN w:val="0"/>
        <w:adjustRightInd w:val="0"/>
        <w:snapToGrid w:val="0"/>
        <w:spacing w:line="276" w:lineRule="auto"/>
        <w:ind w:left="480" w:right="32" w:hanging="480" w:hangingChars="200"/>
        <w:rPr>
          <w:rFonts w:hint="eastAsia" w:ascii="仿宋" w:hAnsi="仿宋" w:eastAsia="仿宋"/>
        </w:rPr>
      </w:pPr>
      <w:r>
        <w:rPr>
          <w:rFonts w:hint="eastAsia" w:ascii="仿宋" w:hAnsi="仿宋" w:eastAsia="仿宋"/>
        </w:rPr>
        <w:t>10、投标文件的数量和签署</w:t>
      </w:r>
    </w:p>
    <w:p>
      <w:pPr>
        <w:autoSpaceDE w:val="0"/>
        <w:autoSpaceDN w:val="0"/>
        <w:adjustRightInd w:val="0"/>
        <w:spacing w:line="276" w:lineRule="auto"/>
        <w:ind w:left="960" w:leftChars="200" w:hanging="480" w:hangingChars="200"/>
        <w:jc w:val="left"/>
        <w:rPr>
          <w:rFonts w:hint="eastAsia" w:ascii="仿宋" w:hAnsi="仿宋" w:eastAsia="仿宋"/>
          <w:kern w:val="0"/>
        </w:rPr>
      </w:pPr>
      <w:r>
        <w:rPr>
          <w:rFonts w:hint="eastAsia" w:ascii="仿宋" w:hAnsi="仿宋" w:eastAsia="仿宋"/>
          <w:kern w:val="0"/>
        </w:rPr>
        <w:t>12.1投标人应准备唱标文件（即开标一览表）一份，投标文件正本一份，投标文件</w:t>
      </w:r>
      <w:r>
        <w:rPr>
          <w:rFonts w:hint="eastAsia" w:ascii="仿宋" w:hAnsi="仿宋" w:eastAsia="仿宋"/>
          <w:color w:val="000000"/>
          <w:kern w:val="0"/>
        </w:rPr>
        <w:t>副本两份</w:t>
      </w:r>
      <w:r>
        <w:rPr>
          <w:rFonts w:hint="eastAsia" w:ascii="仿宋" w:hAnsi="仿宋" w:eastAsia="仿宋"/>
          <w:kern w:val="0"/>
        </w:rPr>
        <w:t>，若副本与正本有不一致的内容，以正本书面投标文件为准。</w:t>
      </w:r>
    </w:p>
    <w:p>
      <w:pPr>
        <w:autoSpaceDE w:val="0"/>
        <w:autoSpaceDN w:val="0"/>
        <w:adjustRightInd w:val="0"/>
        <w:spacing w:line="276" w:lineRule="auto"/>
        <w:ind w:left="960" w:leftChars="200" w:hanging="480" w:hangingChars="200"/>
        <w:jc w:val="left"/>
        <w:rPr>
          <w:rFonts w:hint="eastAsia" w:ascii="仿宋" w:hAnsi="仿宋" w:eastAsia="仿宋"/>
          <w:kern w:val="0"/>
        </w:rPr>
      </w:pPr>
      <w:r>
        <w:rPr>
          <w:rFonts w:ascii="仿宋" w:hAnsi="仿宋" w:eastAsia="仿宋"/>
          <w:kern w:val="0"/>
        </w:rPr>
        <w:t>1</w:t>
      </w:r>
      <w:r>
        <w:rPr>
          <w:rFonts w:hint="eastAsia" w:ascii="仿宋" w:hAnsi="仿宋" w:eastAsia="仿宋"/>
          <w:kern w:val="0"/>
        </w:rPr>
        <w:t>2</w:t>
      </w:r>
      <w:r>
        <w:rPr>
          <w:rFonts w:ascii="仿宋" w:hAnsi="仿宋" w:eastAsia="仿宋"/>
          <w:kern w:val="0"/>
        </w:rPr>
        <w:t>.2</w:t>
      </w:r>
      <w:r>
        <w:rPr>
          <w:rFonts w:hint="eastAsia" w:ascii="仿宋" w:hAnsi="仿宋" w:eastAsia="仿宋"/>
          <w:kern w:val="0"/>
        </w:rPr>
        <w:t>投标文件的正本和副本均需打印或用不褪色、不变质的墨水书写，并由投标人的法定代表人或经其正式授权的代表在招标文件规定签章处签字和盖章。授权代表须出具书面授权证明，其《法定代表人授权书》应附在投标文件中。</w:t>
      </w:r>
    </w:p>
    <w:p>
      <w:pPr>
        <w:autoSpaceDE w:val="0"/>
        <w:autoSpaceDN w:val="0"/>
        <w:adjustRightInd w:val="0"/>
        <w:spacing w:line="276" w:lineRule="auto"/>
        <w:ind w:left="960" w:leftChars="200" w:right="-144" w:rightChars="-60" w:hanging="480" w:hangingChars="200"/>
        <w:jc w:val="left"/>
        <w:rPr>
          <w:rFonts w:hint="eastAsia" w:ascii="仿宋" w:hAnsi="仿宋" w:eastAsia="仿宋"/>
          <w:kern w:val="0"/>
        </w:rPr>
      </w:pPr>
      <w:r>
        <w:rPr>
          <w:rFonts w:ascii="仿宋" w:hAnsi="仿宋" w:eastAsia="仿宋"/>
          <w:kern w:val="0"/>
        </w:rPr>
        <w:t>1</w:t>
      </w:r>
      <w:r>
        <w:rPr>
          <w:rFonts w:hint="eastAsia" w:ascii="仿宋" w:hAnsi="仿宋" w:eastAsia="仿宋"/>
          <w:kern w:val="0"/>
        </w:rPr>
        <w:t>2</w:t>
      </w:r>
      <w:r>
        <w:rPr>
          <w:rFonts w:ascii="仿宋" w:hAnsi="仿宋" w:eastAsia="仿宋"/>
          <w:kern w:val="0"/>
        </w:rPr>
        <w:t>.3</w:t>
      </w:r>
      <w:r>
        <w:rPr>
          <w:rFonts w:hint="eastAsia" w:ascii="仿宋" w:hAnsi="仿宋" w:eastAsia="仿宋"/>
          <w:kern w:val="0"/>
        </w:rPr>
        <w:t>投标文件的打印和书写应清楚工整，任何重要的插字、涂改和增删，必须由投标人的法定代表人或经其正式授权的代表在修改处签字并加盖投标人公章方有效。</w:t>
      </w:r>
    </w:p>
    <w:p>
      <w:pPr>
        <w:autoSpaceDE w:val="0"/>
        <w:autoSpaceDN w:val="0"/>
        <w:adjustRightInd w:val="0"/>
        <w:spacing w:line="276" w:lineRule="auto"/>
        <w:ind w:left="960" w:leftChars="200" w:hanging="480" w:hangingChars="200"/>
        <w:jc w:val="left"/>
        <w:rPr>
          <w:rFonts w:hint="eastAsia" w:ascii="仿宋" w:hAnsi="仿宋" w:eastAsia="仿宋"/>
          <w:kern w:val="0"/>
        </w:rPr>
      </w:pPr>
      <w:r>
        <w:rPr>
          <w:rFonts w:hint="eastAsia" w:ascii="仿宋" w:hAnsi="仿宋" w:eastAsia="仿宋"/>
          <w:kern w:val="0"/>
        </w:rPr>
        <w:t>12.4投标文件统一用A4幅面纸印制，正本和副本必须装订成册并逐页编目编码。投标文件的副本可采用正本的复印件，每套投标文件须清楚地标明“正本”、“副本”。</w:t>
      </w:r>
    </w:p>
    <w:p>
      <w:pPr>
        <w:autoSpaceDE w:val="0"/>
        <w:autoSpaceDN w:val="0"/>
        <w:adjustRightInd w:val="0"/>
        <w:spacing w:line="276" w:lineRule="auto"/>
        <w:ind w:left="960" w:leftChars="200" w:hanging="480" w:hangingChars="200"/>
        <w:jc w:val="left"/>
        <w:rPr>
          <w:rFonts w:hint="eastAsia" w:ascii="仿宋" w:hAnsi="仿宋" w:eastAsia="仿宋"/>
          <w:kern w:val="0"/>
        </w:rPr>
      </w:pPr>
      <w:r>
        <w:rPr>
          <w:rFonts w:hint="eastAsia" w:ascii="仿宋" w:hAnsi="仿宋" w:eastAsia="仿宋"/>
          <w:kern w:val="0"/>
        </w:rPr>
        <w:t>12.5投标文件应根据招标文件的要求制作，签署、盖章和内容应完整，如有遗漏，严重影响评审的，将被视为无效投标。</w:t>
      </w:r>
    </w:p>
    <w:p>
      <w:pPr>
        <w:autoSpaceDE w:val="0"/>
        <w:autoSpaceDN w:val="0"/>
        <w:adjustRightInd w:val="0"/>
        <w:spacing w:line="276" w:lineRule="auto"/>
        <w:ind w:left="960" w:leftChars="200" w:hanging="480" w:hangingChars="200"/>
        <w:jc w:val="left"/>
        <w:rPr>
          <w:rFonts w:hint="eastAsia" w:ascii="仿宋" w:hAnsi="仿宋" w:eastAsia="仿宋"/>
          <w:kern w:val="0"/>
        </w:rPr>
      </w:pPr>
      <w:r>
        <w:rPr>
          <w:rFonts w:hint="eastAsia" w:ascii="仿宋" w:hAnsi="仿宋" w:eastAsia="仿宋"/>
          <w:kern w:val="0"/>
        </w:rPr>
        <w:t>12.6电报、电话、传真形式的投标文件概不接受。</w:t>
      </w:r>
    </w:p>
    <w:p>
      <w:pPr>
        <w:pStyle w:val="5"/>
        <w:adjustRightInd w:val="0"/>
        <w:snapToGrid w:val="0"/>
        <w:spacing w:line="276" w:lineRule="auto"/>
        <w:outlineLvl w:val="1"/>
        <w:rPr>
          <w:rFonts w:hint="eastAsia" w:ascii="仿宋" w:hAnsi="仿宋" w:eastAsia="仿宋"/>
          <w:b/>
          <w:szCs w:val="24"/>
        </w:rPr>
      </w:pPr>
      <w:bookmarkStart w:id="6" w:name="_Toc478765523"/>
      <w:r>
        <w:rPr>
          <w:rFonts w:hint="eastAsia" w:ascii="仿宋" w:hAnsi="仿宋" w:eastAsia="仿宋"/>
          <w:b/>
          <w:szCs w:val="24"/>
        </w:rPr>
        <w:t>四、投标文件的递交</w:t>
      </w:r>
      <w:bookmarkEnd w:id="6"/>
    </w:p>
    <w:p>
      <w:pPr>
        <w:autoSpaceDE w:val="0"/>
        <w:autoSpaceDN w:val="0"/>
        <w:adjustRightInd w:val="0"/>
        <w:snapToGrid w:val="0"/>
        <w:spacing w:line="276" w:lineRule="auto"/>
        <w:ind w:left="480" w:right="32" w:hanging="480" w:hangingChars="200"/>
        <w:rPr>
          <w:rFonts w:hint="eastAsia" w:ascii="仿宋" w:hAnsi="仿宋" w:eastAsia="仿宋"/>
          <w:kern w:val="0"/>
        </w:rPr>
      </w:pPr>
      <w:r>
        <w:rPr>
          <w:rFonts w:hint="eastAsia" w:ascii="仿宋" w:hAnsi="仿宋" w:eastAsia="仿宋"/>
          <w:kern w:val="0"/>
        </w:rPr>
        <w:t>1、投标文件的密封和标记</w:t>
      </w:r>
    </w:p>
    <w:p>
      <w:pPr>
        <w:spacing w:line="276" w:lineRule="auto"/>
        <w:ind w:left="960" w:leftChars="200" w:hanging="480" w:hangingChars="200"/>
        <w:rPr>
          <w:rFonts w:hint="eastAsia" w:ascii="仿宋" w:hAnsi="仿宋" w:eastAsia="仿宋"/>
          <w:kern w:val="0"/>
        </w:rPr>
      </w:pPr>
      <w:r>
        <w:rPr>
          <w:rFonts w:hint="eastAsia" w:ascii="仿宋" w:hAnsi="仿宋" w:eastAsia="仿宋"/>
          <w:kern w:val="0"/>
        </w:rPr>
        <w:t>1.1为方便开标时唱标，</w:t>
      </w:r>
      <w:r>
        <w:rPr>
          <w:rFonts w:hint="eastAsia" w:ascii="仿宋" w:hAnsi="仿宋" w:eastAsia="仿宋"/>
          <w:color w:val="000000"/>
          <w:kern w:val="0"/>
        </w:rPr>
        <w:t>投标人应将《开标一览表》单独密封提交，</w:t>
      </w:r>
      <w:r>
        <w:rPr>
          <w:rFonts w:hint="eastAsia" w:ascii="仿宋" w:hAnsi="仿宋" w:eastAsia="仿宋"/>
          <w:kern w:val="0"/>
        </w:rPr>
        <w:t>并在唱标信封上清晰标明“开标一览表”字样。投标人应将投标文件正本和所有的副本分别单独密封包装，并在外包装上清晰标明“正本”、“副本”字样。</w:t>
      </w:r>
    </w:p>
    <w:p>
      <w:pPr>
        <w:spacing w:line="276" w:lineRule="auto"/>
        <w:ind w:left="960" w:leftChars="200" w:hanging="480" w:hangingChars="200"/>
        <w:rPr>
          <w:rFonts w:hint="eastAsia" w:ascii="仿宋" w:hAnsi="仿宋" w:eastAsia="仿宋"/>
          <w:kern w:val="0"/>
        </w:rPr>
      </w:pPr>
      <w:r>
        <w:rPr>
          <w:rFonts w:hint="eastAsia" w:ascii="仿宋" w:hAnsi="仿宋" w:eastAsia="仿宋"/>
          <w:kern w:val="0"/>
        </w:rPr>
        <w:t>1.2信封或外包装上应当注明采购项目名称、采购项目编号、投标人名称和“在（招标文件中规定的</w:t>
      </w:r>
      <w:r>
        <w:rPr>
          <w:rFonts w:hint="eastAsia" w:ascii="仿宋" w:hAnsi="仿宋" w:eastAsia="仿宋"/>
          <w:iCs/>
          <w:kern w:val="0"/>
        </w:rPr>
        <w:t>开标日期和时点）</w:t>
      </w:r>
      <w:r>
        <w:rPr>
          <w:rFonts w:hint="eastAsia" w:ascii="仿宋" w:hAnsi="仿宋" w:eastAsia="仿宋"/>
          <w:kern w:val="0"/>
        </w:rPr>
        <w:t>之前不得启封”的字样，</w:t>
      </w:r>
      <w:r>
        <w:rPr>
          <w:rFonts w:hint="eastAsia" w:ascii="仿宋" w:hAnsi="仿宋" w:eastAsia="仿宋"/>
        </w:rPr>
        <w:t>封口处应加盖投标人公章</w:t>
      </w:r>
      <w:r>
        <w:rPr>
          <w:rFonts w:hint="eastAsia" w:ascii="仿宋" w:hAnsi="仿宋" w:eastAsia="仿宋"/>
          <w:kern w:val="0"/>
        </w:rPr>
        <w:t>。</w:t>
      </w:r>
    </w:p>
    <w:p>
      <w:pPr>
        <w:spacing w:line="276" w:lineRule="auto"/>
        <w:ind w:left="960" w:leftChars="200" w:hanging="480" w:hangingChars="200"/>
        <w:rPr>
          <w:rFonts w:hint="eastAsia" w:ascii="仿宋" w:hAnsi="仿宋" w:eastAsia="仿宋"/>
          <w:kern w:val="0"/>
        </w:rPr>
      </w:pPr>
      <w:r>
        <w:rPr>
          <w:rFonts w:hint="eastAsia" w:ascii="仿宋" w:hAnsi="仿宋" w:eastAsia="仿宋"/>
          <w:kern w:val="0"/>
        </w:rPr>
        <w:t>1.3如果未按要求密封和标记，</w:t>
      </w:r>
      <w:r>
        <w:rPr>
          <w:rFonts w:hint="eastAsia" w:ascii="仿宋" w:hAnsi="仿宋" w:eastAsia="仿宋"/>
          <w:snapToGrid w:val="0"/>
          <w:kern w:val="0"/>
          <w:u w:val="single"/>
        </w:rPr>
        <w:t>采购人</w:t>
      </w:r>
      <w:r>
        <w:rPr>
          <w:rFonts w:hint="eastAsia" w:ascii="仿宋" w:hAnsi="仿宋" w:eastAsia="仿宋"/>
          <w:kern w:val="0"/>
        </w:rPr>
        <w:t>对误投或提前启封概不负责。</w:t>
      </w:r>
    </w:p>
    <w:p>
      <w:pPr>
        <w:spacing w:line="276" w:lineRule="auto"/>
        <w:ind w:left="960" w:leftChars="200" w:hanging="480" w:hangingChars="200"/>
        <w:rPr>
          <w:rFonts w:hint="eastAsia" w:ascii="仿宋" w:hAnsi="仿宋" w:eastAsia="仿宋"/>
          <w:kern w:val="0"/>
        </w:rPr>
      </w:pPr>
      <w:r>
        <w:rPr>
          <w:rFonts w:hint="eastAsia" w:ascii="仿宋" w:hAnsi="仿宋" w:eastAsia="仿宋"/>
          <w:kern w:val="0"/>
        </w:rPr>
        <w:t>1.4</w:t>
      </w:r>
      <w:r>
        <w:rPr>
          <w:rFonts w:hint="eastAsia" w:ascii="仿宋" w:hAnsi="仿宋" w:eastAsia="仿宋"/>
        </w:rPr>
        <w:t xml:space="preserve"> </w:t>
      </w:r>
      <w:r>
        <w:rPr>
          <w:rFonts w:hint="eastAsia" w:ascii="仿宋" w:hAnsi="仿宋" w:eastAsia="仿宋"/>
          <w:kern w:val="0"/>
        </w:rPr>
        <w:t>投标人将投标文件按上述规定进行密封和标记后，按招标公告注明的投标截止时间之前送至</w:t>
      </w:r>
      <w:r>
        <w:rPr>
          <w:rFonts w:hint="eastAsia" w:ascii="仿宋" w:hAnsi="仿宋" w:eastAsia="仿宋"/>
          <w:lang w:eastAsia="zh-CN"/>
        </w:rPr>
        <w:t>惠州市中医医院</w:t>
      </w:r>
      <w:r>
        <w:rPr>
          <w:rFonts w:hint="eastAsia" w:ascii="仿宋" w:hAnsi="仿宋" w:eastAsia="仿宋"/>
          <w:kern w:val="0"/>
        </w:rPr>
        <w:t>；</w:t>
      </w:r>
      <w:r>
        <w:rPr>
          <w:rFonts w:hint="eastAsia" w:ascii="仿宋" w:hAnsi="仿宋" w:eastAsia="仿宋"/>
          <w:lang w:eastAsia="zh-CN"/>
        </w:rPr>
        <w:t>惠州市中医医院</w:t>
      </w:r>
      <w:r>
        <w:rPr>
          <w:rFonts w:hint="eastAsia" w:ascii="仿宋" w:hAnsi="仿宋" w:eastAsia="仿宋"/>
          <w:kern w:val="0"/>
        </w:rPr>
        <w:t>将拒绝在投标截止时间后收到的投标文件。</w:t>
      </w:r>
    </w:p>
    <w:p>
      <w:pPr>
        <w:spacing w:line="276" w:lineRule="auto"/>
        <w:rPr>
          <w:rFonts w:hint="eastAsia" w:ascii="仿宋" w:hAnsi="仿宋" w:eastAsia="仿宋"/>
          <w:kern w:val="0"/>
        </w:rPr>
      </w:pPr>
      <w:r>
        <w:rPr>
          <w:rFonts w:hint="eastAsia" w:ascii="仿宋" w:hAnsi="仿宋" w:eastAsia="仿宋"/>
          <w:kern w:val="0"/>
        </w:rPr>
        <w:t>2、投标截止期</w:t>
      </w:r>
    </w:p>
    <w:p>
      <w:pPr>
        <w:spacing w:line="276" w:lineRule="auto"/>
        <w:ind w:left="960" w:leftChars="200" w:hanging="480" w:hangingChars="200"/>
        <w:rPr>
          <w:rFonts w:hint="eastAsia" w:ascii="仿宋" w:hAnsi="仿宋" w:eastAsia="仿宋"/>
          <w:kern w:val="0"/>
        </w:rPr>
      </w:pPr>
      <w:r>
        <w:rPr>
          <w:rFonts w:hint="eastAsia" w:ascii="仿宋" w:hAnsi="仿宋" w:eastAsia="仿宋"/>
          <w:kern w:val="0"/>
        </w:rPr>
        <w:t>2.1招标采购单位在《投标邀请函》中规定的地点和投标截止时间之前接收投标文件，超过截止时间点后的投标为无效投标。</w:t>
      </w:r>
    </w:p>
    <w:p>
      <w:pPr>
        <w:spacing w:line="276" w:lineRule="auto"/>
        <w:ind w:left="960" w:leftChars="200" w:hanging="480" w:hangingChars="200"/>
        <w:rPr>
          <w:rFonts w:hint="eastAsia" w:ascii="仿宋" w:hAnsi="仿宋" w:eastAsia="仿宋"/>
          <w:kern w:val="0"/>
        </w:rPr>
      </w:pPr>
      <w:r>
        <w:rPr>
          <w:rFonts w:hint="eastAsia" w:ascii="仿宋" w:hAnsi="仿宋" w:eastAsia="仿宋"/>
          <w:kern w:val="0"/>
        </w:rPr>
        <w:t>2.2招标采购单位可以按本须知规定，通过修改招标文件自行决定酌情延长投标截止期，在此情况下，招标采购单位和投标人受投标截止期制约的所有权利和义务均应延长至新的截止期。</w:t>
      </w:r>
    </w:p>
    <w:p>
      <w:pPr>
        <w:pStyle w:val="5"/>
        <w:adjustRightInd w:val="0"/>
        <w:snapToGrid w:val="0"/>
        <w:spacing w:line="276" w:lineRule="auto"/>
        <w:ind w:right="32"/>
        <w:rPr>
          <w:rFonts w:hint="eastAsia" w:ascii="仿宋" w:hAnsi="仿宋" w:eastAsia="仿宋"/>
          <w:szCs w:val="24"/>
        </w:rPr>
      </w:pPr>
      <w:r>
        <w:rPr>
          <w:rFonts w:hint="eastAsia" w:ascii="仿宋" w:hAnsi="仿宋" w:eastAsia="仿宋"/>
          <w:szCs w:val="24"/>
        </w:rPr>
        <w:t>3、投标文件的修改和撤回</w:t>
      </w:r>
    </w:p>
    <w:p>
      <w:pPr>
        <w:spacing w:line="276" w:lineRule="auto"/>
        <w:ind w:left="960" w:leftChars="200" w:hanging="480" w:hangingChars="200"/>
        <w:rPr>
          <w:rFonts w:hint="eastAsia" w:ascii="仿宋" w:hAnsi="仿宋" w:eastAsia="仿宋"/>
          <w:kern w:val="0"/>
        </w:rPr>
      </w:pPr>
      <w:r>
        <w:rPr>
          <w:rFonts w:hint="eastAsia" w:ascii="仿宋" w:hAnsi="仿宋" w:eastAsia="仿宋"/>
          <w:kern w:val="0"/>
        </w:rPr>
        <w:t>3.1</w:t>
      </w:r>
      <w:r>
        <w:rPr>
          <w:rFonts w:hint="eastAsia" w:ascii="仿宋" w:hAnsi="仿宋" w:eastAsia="仿宋"/>
        </w:rPr>
        <w:t>投标人在投标截止时间前，可以对所递交的投标文件进行补充、修改或者撤回，并书面通知</w:t>
      </w:r>
      <w:r>
        <w:rPr>
          <w:rFonts w:hint="eastAsia" w:ascii="仿宋" w:hAnsi="仿宋" w:eastAsia="仿宋"/>
          <w:lang w:eastAsia="zh-CN"/>
        </w:rPr>
        <w:t>惠州市中医医院</w:t>
      </w:r>
      <w:r>
        <w:rPr>
          <w:rFonts w:hint="eastAsia" w:ascii="仿宋" w:hAnsi="仿宋" w:eastAsia="仿宋"/>
        </w:rPr>
        <w:t>。补充、修改的内容应当按招标文件要求签署、盖章，并作为投标文件的组成部分。</w:t>
      </w:r>
      <w:r>
        <w:rPr>
          <w:rFonts w:hint="eastAsia" w:ascii="仿宋" w:hAnsi="仿宋" w:eastAsia="仿宋"/>
          <w:kern w:val="0"/>
        </w:rPr>
        <w:t>在投标截止时点之后，投标人不得对其投标文件做任何修改和补充。</w:t>
      </w:r>
    </w:p>
    <w:p>
      <w:pPr>
        <w:spacing w:line="276" w:lineRule="auto"/>
        <w:ind w:left="960" w:leftChars="200" w:hanging="480" w:hangingChars="200"/>
        <w:rPr>
          <w:rFonts w:hint="eastAsia" w:ascii="仿宋" w:hAnsi="仿宋" w:eastAsia="仿宋"/>
          <w:kern w:val="0"/>
        </w:rPr>
      </w:pPr>
      <w:r>
        <w:rPr>
          <w:rFonts w:hint="eastAsia" w:ascii="仿宋" w:hAnsi="仿宋" w:eastAsia="仿宋"/>
          <w:kern w:val="0"/>
        </w:rPr>
        <w:t>3.2投标人在递交投标文件后，可以撤回其投标，但投标人必须在规定的投标截止时点前以书面形式告知</w:t>
      </w:r>
      <w:r>
        <w:rPr>
          <w:rFonts w:hint="eastAsia" w:ascii="仿宋" w:hAnsi="仿宋" w:eastAsia="仿宋"/>
          <w:lang w:eastAsia="zh-CN"/>
        </w:rPr>
        <w:t>惠州市中医医院</w:t>
      </w:r>
      <w:r>
        <w:rPr>
          <w:rFonts w:hint="eastAsia" w:ascii="仿宋" w:hAnsi="仿宋" w:eastAsia="仿宋"/>
          <w:kern w:val="0"/>
        </w:rPr>
        <w:t>。从投标截止期至投标人承诺的投标有效期内，投标人不得撤回其投标，否则其投标保证金将被没收。</w:t>
      </w:r>
    </w:p>
    <w:p>
      <w:pPr>
        <w:spacing w:line="276" w:lineRule="auto"/>
        <w:ind w:left="960" w:leftChars="200" w:hanging="480" w:hangingChars="200"/>
        <w:rPr>
          <w:rFonts w:hint="eastAsia" w:ascii="仿宋" w:hAnsi="仿宋" w:eastAsia="仿宋"/>
        </w:rPr>
      </w:pPr>
      <w:r>
        <w:rPr>
          <w:rFonts w:hint="eastAsia" w:ascii="仿宋" w:hAnsi="仿宋" w:eastAsia="仿宋"/>
        </w:rPr>
        <w:t>3.3投标人所提交的投标文件在评标结束后，无论中标与否都不退还。</w:t>
      </w:r>
    </w:p>
    <w:p>
      <w:pPr>
        <w:pStyle w:val="5"/>
        <w:adjustRightInd w:val="0"/>
        <w:snapToGrid w:val="0"/>
        <w:spacing w:line="276" w:lineRule="auto"/>
        <w:outlineLvl w:val="1"/>
        <w:rPr>
          <w:rFonts w:hint="eastAsia" w:ascii="仿宋" w:hAnsi="仿宋" w:eastAsia="仿宋"/>
          <w:b/>
          <w:szCs w:val="24"/>
        </w:rPr>
      </w:pPr>
      <w:bookmarkStart w:id="7" w:name="_Toc478765524"/>
      <w:r>
        <w:rPr>
          <w:rFonts w:hint="eastAsia" w:ascii="仿宋" w:hAnsi="仿宋" w:eastAsia="仿宋"/>
          <w:b/>
          <w:szCs w:val="24"/>
        </w:rPr>
        <w:t>五、开标、评标定标</w:t>
      </w:r>
      <w:bookmarkEnd w:id="7"/>
    </w:p>
    <w:p>
      <w:pPr>
        <w:pStyle w:val="5"/>
        <w:adjustRightInd w:val="0"/>
        <w:snapToGrid w:val="0"/>
        <w:spacing w:line="276" w:lineRule="auto"/>
        <w:ind w:left="480" w:hanging="480" w:hangingChars="200"/>
        <w:rPr>
          <w:rFonts w:hint="eastAsia" w:ascii="仿宋" w:hAnsi="仿宋" w:eastAsia="仿宋"/>
          <w:szCs w:val="24"/>
        </w:rPr>
      </w:pPr>
      <w:r>
        <w:rPr>
          <w:rFonts w:hint="eastAsia" w:ascii="仿宋" w:hAnsi="仿宋" w:eastAsia="仿宋"/>
          <w:szCs w:val="24"/>
        </w:rPr>
        <w:t>1、开标</w:t>
      </w:r>
    </w:p>
    <w:p>
      <w:pPr>
        <w:tabs>
          <w:tab w:val="left" w:pos="840"/>
        </w:tabs>
        <w:adjustRightInd w:val="0"/>
        <w:snapToGrid w:val="0"/>
        <w:spacing w:line="276" w:lineRule="auto"/>
        <w:ind w:left="1020" w:leftChars="200" w:hanging="540" w:hangingChars="225"/>
        <w:rPr>
          <w:rFonts w:hint="eastAsia" w:ascii="仿宋" w:hAnsi="仿宋" w:eastAsia="仿宋"/>
          <w:color w:val="C00000"/>
        </w:rPr>
      </w:pPr>
      <w:r>
        <w:rPr>
          <w:rFonts w:hint="eastAsia" w:ascii="仿宋" w:hAnsi="仿宋" w:eastAsia="仿宋"/>
        </w:rPr>
        <w:t>1.1</w:t>
      </w:r>
      <w:r>
        <w:rPr>
          <w:rFonts w:hint="eastAsia" w:ascii="仿宋" w:hAnsi="仿宋" w:eastAsia="仿宋"/>
          <w:lang w:eastAsia="zh-CN"/>
        </w:rPr>
        <w:t>惠州市中医医院</w:t>
      </w:r>
      <w:r>
        <w:rPr>
          <w:rFonts w:hint="eastAsia" w:ascii="仿宋" w:hAnsi="仿宋" w:eastAsia="仿宋"/>
        </w:rPr>
        <w:t>在《投标邀请函》中规定的日期、时间和地点组织公开开标。开标时原则上应当有采购人代表和投标人代表参加。并邀请有关单位代表参加。参加开标的代表应签到以证明其出席</w:t>
      </w:r>
      <w:r>
        <w:rPr>
          <w:rFonts w:hint="eastAsia" w:ascii="仿宋" w:hAnsi="仿宋" w:eastAsia="仿宋"/>
          <w:b/>
        </w:rPr>
        <w:t>,并出示有效身份证件，以供查验。</w:t>
      </w:r>
    </w:p>
    <w:p>
      <w:pPr>
        <w:tabs>
          <w:tab w:val="left" w:pos="840"/>
        </w:tabs>
        <w:adjustRightInd w:val="0"/>
        <w:snapToGrid w:val="0"/>
        <w:spacing w:line="276" w:lineRule="auto"/>
        <w:ind w:left="1020" w:leftChars="200" w:hanging="540" w:hangingChars="225"/>
        <w:rPr>
          <w:rFonts w:hint="eastAsia" w:ascii="仿宋" w:hAnsi="仿宋" w:eastAsia="仿宋"/>
        </w:rPr>
      </w:pPr>
      <w:r>
        <w:rPr>
          <w:rFonts w:hint="eastAsia" w:ascii="仿宋" w:hAnsi="仿宋" w:eastAsia="仿宋"/>
        </w:rPr>
        <w:t>1.2开标时，由全体投标人代表或者按签到顺序递交投标文件的前三名投标人代表作为全体投标人推选代表检查在递交投标文件的截止时间前收到的所有投标文件的密封情况，也可以由招标采购单位委托的机构检查并见证，经确认无误后</w:t>
      </w:r>
      <w:r>
        <w:rPr>
          <w:rFonts w:hint="eastAsia" w:ascii="仿宋" w:hAnsi="仿宋" w:eastAsia="仿宋"/>
          <w:snapToGrid w:val="0"/>
          <w:kern w:val="0"/>
          <w:u w:val="single"/>
        </w:rPr>
        <w:t>采购人</w:t>
      </w:r>
      <w:r>
        <w:rPr>
          <w:rFonts w:hint="eastAsia" w:ascii="仿宋" w:hAnsi="仿宋" w:eastAsia="仿宋"/>
        </w:rPr>
        <w:t>当众予以拆封；主持人宣读投标人名称、投标报价、价格折扣、投标文件的其他主要内容和招标文件允许提供的备选投标方案。</w:t>
      </w:r>
    </w:p>
    <w:p>
      <w:pPr>
        <w:tabs>
          <w:tab w:val="left" w:pos="840"/>
        </w:tabs>
        <w:adjustRightInd w:val="0"/>
        <w:snapToGrid w:val="0"/>
        <w:spacing w:line="276" w:lineRule="auto"/>
        <w:ind w:left="1020" w:leftChars="200" w:hanging="540" w:hangingChars="225"/>
        <w:rPr>
          <w:rFonts w:hint="eastAsia" w:ascii="仿宋" w:hAnsi="仿宋" w:eastAsia="仿宋"/>
        </w:rPr>
      </w:pPr>
      <w:r>
        <w:rPr>
          <w:rFonts w:hint="eastAsia" w:ascii="仿宋" w:hAnsi="仿宋" w:eastAsia="仿宋"/>
          <w:kern w:val="0"/>
        </w:rPr>
        <w:t>1.3</w:t>
      </w:r>
      <w:r>
        <w:rPr>
          <w:rFonts w:hint="eastAsia" w:ascii="仿宋" w:hAnsi="仿宋" w:eastAsia="仿宋"/>
          <w:lang w:eastAsia="zh-CN"/>
        </w:rPr>
        <w:t>惠州市中医医院</w:t>
      </w:r>
      <w:r>
        <w:rPr>
          <w:rFonts w:hint="eastAsia" w:ascii="仿宋" w:hAnsi="仿宋" w:eastAsia="仿宋"/>
          <w:kern w:val="0"/>
        </w:rPr>
        <w:t>做好开标记录，</w:t>
      </w:r>
      <w:r>
        <w:rPr>
          <w:rFonts w:hint="eastAsia" w:ascii="仿宋" w:hAnsi="仿宋" w:eastAsia="仿宋"/>
        </w:rPr>
        <w:t>并打印出纸质文件给各投标人代表、相关与会代表、唱标人签名确认。各投标人代表应对唱标内容及记录结果当场进行核对，如有异议应当场提出，否则视为无异议。在开标时，未宣读的投标价格、价格折扣和招标文件允许提供的备选投标方案等实质内容，评标时不予承认。</w:t>
      </w:r>
    </w:p>
    <w:p>
      <w:pPr>
        <w:tabs>
          <w:tab w:val="left" w:pos="840"/>
        </w:tabs>
        <w:adjustRightInd w:val="0"/>
        <w:snapToGrid w:val="0"/>
        <w:spacing w:line="276" w:lineRule="auto"/>
        <w:ind w:left="1020" w:leftChars="200" w:hanging="540" w:hangingChars="225"/>
        <w:rPr>
          <w:rFonts w:hint="eastAsia" w:ascii="仿宋" w:hAnsi="仿宋" w:eastAsia="仿宋"/>
          <w:kern w:val="0"/>
        </w:rPr>
      </w:pPr>
      <w:r>
        <w:rPr>
          <w:rFonts w:hint="eastAsia" w:ascii="仿宋" w:hAnsi="仿宋" w:eastAsia="仿宋"/>
        </w:rPr>
        <w:t>1.4 当在招标文件要求的投标截止时间结束后提交有效投标文件的投标人不足三家时，停止开标，并将密封投标文件退还给投标人，本项目将视为招标失败。除采购任务取消外，</w:t>
      </w:r>
      <w:r>
        <w:rPr>
          <w:rFonts w:hint="eastAsia" w:ascii="仿宋" w:hAnsi="仿宋" w:eastAsia="仿宋"/>
          <w:lang w:eastAsia="zh-CN"/>
        </w:rPr>
        <w:t>惠州市中医医院</w:t>
      </w:r>
      <w:r>
        <w:rPr>
          <w:rFonts w:hint="eastAsia" w:ascii="仿宋" w:hAnsi="仿宋" w:eastAsia="仿宋"/>
        </w:rPr>
        <w:t>将重新招标。</w:t>
      </w:r>
    </w:p>
    <w:p>
      <w:pPr>
        <w:pStyle w:val="5"/>
        <w:adjustRightInd w:val="0"/>
        <w:snapToGrid w:val="0"/>
        <w:spacing w:line="276" w:lineRule="auto"/>
        <w:rPr>
          <w:rFonts w:hint="eastAsia" w:ascii="仿宋" w:hAnsi="仿宋" w:eastAsia="仿宋"/>
          <w:szCs w:val="24"/>
        </w:rPr>
      </w:pPr>
      <w:r>
        <w:rPr>
          <w:rFonts w:hint="eastAsia" w:ascii="仿宋" w:hAnsi="仿宋" w:eastAsia="仿宋"/>
          <w:szCs w:val="24"/>
        </w:rPr>
        <w:t>2、评审委员会的组成和评标方法</w:t>
      </w:r>
    </w:p>
    <w:p>
      <w:pPr>
        <w:autoSpaceDE w:val="0"/>
        <w:autoSpaceDN w:val="0"/>
        <w:adjustRightInd w:val="0"/>
        <w:snapToGrid w:val="0"/>
        <w:spacing w:line="276" w:lineRule="auto"/>
        <w:ind w:left="1020" w:leftChars="200" w:right="32" w:hanging="540" w:hangingChars="225"/>
        <w:rPr>
          <w:rFonts w:hint="eastAsia" w:ascii="仿宋" w:hAnsi="仿宋" w:eastAsia="仿宋"/>
          <w:kern w:val="0"/>
        </w:rPr>
      </w:pPr>
      <w:r>
        <w:rPr>
          <w:rFonts w:hint="eastAsia" w:ascii="仿宋" w:hAnsi="仿宋" w:eastAsia="仿宋"/>
        </w:rPr>
        <w:t>2.1</w:t>
      </w:r>
      <w:r>
        <w:rPr>
          <w:rFonts w:hint="eastAsia" w:ascii="仿宋" w:hAnsi="仿宋" w:eastAsia="仿宋"/>
          <w:kern w:val="0"/>
        </w:rPr>
        <w:t>评标由</w:t>
      </w:r>
      <w:r>
        <w:rPr>
          <w:rFonts w:hint="eastAsia" w:ascii="仿宋" w:hAnsi="仿宋" w:eastAsia="仿宋"/>
          <w:lang w:eastAsia="zh-CN"/>
        </w:rPr>
        <w:t>惠州市中医医院</w:t>
      </w:r>
      <w:r>
        <w:rPr>
          <w:rFonts w:hint="eastAsia" w:ascii="仿宋" w:hAnsi="仿宋" w:eastAsia="仿宋"/>
          <w:kern w:val="0"/>
        </w:rPr>
        <w:t>依照政府采购法律、法规、规章、政策的规定，组建的评审委员会负责。</w:t>
      </w:r>
    </w:p>
    <w:p>
      <w:pPr>
        <w:autoSpaceDE w:val="0"/>
        <w:autoSpaceDN w:val="0"/>
        <w:adjustRightInd w:val="0"/>
        <w:snapToGrid w:val="0"/>
        <w:spacing w:line="276" w:lineRule="auto"/>
        <w:ind w:left="1020" w:leftChars="200" w:right="32" w:hanging="540" w:hangingChars="225"/>
        <w:rPr>
          <w:rFonts w:hint="eastAsia" w:ascii="仿宋" w:hAnsi="仿宋" w:eastAsia="仿宋"/>
          <w:kern w:val="0"/>
        </w:rPr>
      </w:pPr>
      <w:r>
        <w:rPr>
          <w:rFonts w:hint="eastAsia" w:ascii="仿宋" w:hAnsi="仿宋" w:eastAsia="仿宋"/>
          <w:kern w:val="0"/>
        </w:rPr>
        <w:t>2.2 评审委员会将按照招标文件确定的评标方法进行评标。</w:t>
      </w:r>
    </w:p>
    <w:p>
      <w:pPr>
        <w:autoSpaceDE w:val="0"/>
        <w:autoSpaceDN w:val="0"/>
        <w:adjustRightInd w:val="0"/>
        <w:snapToGrid w:val="0"/>
        <w:spacing w:line="276" w:lineRule="auto"/>
        <w:ind w:left="1020" w:leftChars="200" w:right="32" w:hanging="540" w:hangingChars="225"/>
        <w:rPr>
          <w:rFonts w:hint="eastAsia" w:ascii="仿宋" w:hAnsi="仿宋" w:eastAsia="仿宋"/>
          <w:kern w:val="0"/>
        </w:rPr>
      </w:pPr>
      <w:r>
        <w:rPr>
          <w:rFonts w:hint="eastAsia" w:ascii="仿宋" w:hAnsi="仿宋" w:eastAsia="仿宋"/>
          <w:kern w:val="0"/>
        </w:rPr>
        <w:t>2.3 本次评标采用</w:t>
      </w:r>
      <w:r>
        <w:rPr>
          <w:rFonts w:hint="eastAsia" w:ascii="仿宋" w:hAnsi="仿宋" w:eastAsia="仿宋"/>
          <w:color w:val="FF0000"/>
          <w:kern w:val="0"/>
        </w:rPr>
        <w:t>(</w:t>
      </w:r>
      <w:r>
        <w:rPr>
          <w:rFonts w:hint="eastAsia" w:ascii="仿宋" w:hAnsi="仿宋" w:eastAsia="仿宋"/>
          <w:color w:val="FF0000"/>
          <w:kern w:val="0"/>
          <w:u w:val="single"/>
        </w:rPr>
        <w:t>综合评分法）</w:t>
      </w:r>
      <w:r>
        <w:rPr>
          <w:rFonts w:hint="eastAsia" w:ascii="仿宋" w:hAnsi="仿宋" w:eastAsia="仿宋"/>
          <w:kern w:val="0"/>
        </w:rPr>
        <w:t>方法，具体见本部分“十 评标方法、步骤及标准”。</w:t>
      </w:r>
    </w:p>
    <w:p>
      <w:pPr>
        <w:pStyle w:val="5"/>
        <w:adjustRightInd w:val="0"/>
        <w:snapToGrid w:val="0"/>
        <w:spacing w:line="276" w:lineRule="auto"/>
        <w:rPr>
          <w:rFonts w:hint="eastAsia" w:ascii="仿宋" w:hAnsi="仿宋" w:eastAsia="仿宋"/>
          <w:szCs w:val="24"/>
        </w:rPr>
      </w:pPr>
      <w:r>
        <w:rPr>
          <w:rFonts w:hint="eastAsia" w:ascii="仿宋" w:hAnsi="仿宋" w:eastAsia="仿宋"/>
          <w:szCs w:val="24"/>
        </w:rPr>
        <w:t>3、投标文件的初审</w:t>
      </w:r>
    </w:p>
    <w:p>
      <w:pPr>
        <w:pStyle w:val="5"/>
        <w:adjustRightInd w:val="0"/>
        <w:snapToGrid w:val="0"/>
        <w:spacing w:line="276" w:lineRule="auto"/>
        <w:ind w:left="1020" w:leftChars="200" w:hanging="540" w:hangingChars="225"/>
        <w:rPr>
          <w:rFonts w:hint="eastAsia" w:ascii="仿宋" w:hAnsi="仿宋" w:eastAsia="仿宋"/>
          <w:kern w:val="0"/>
          <w:szCs w:val="24"/>
        </w:rPr>
      </w:pPr>
      <w:r>
        <w:rPr>
          <w:rFonts w:hint="eastAsia" w:ascii="仿宋" w:hAnsi="仿宋" w:eastAsia="仿宋"/>
          <w:kern w:val="0"/>
          <w:szCs w:val="24"/>
        </w:rPr>
        <w:t>3.1投标文件的初审包括资格性审查和符合性审查。资格性审查包括对投标文件中的资格证明等进行审查，以确定投标人是否满足资格要求；符合性审查，包括完整、文件签署是否有效、是否满足招标文件的实质性要求等。只有实质性响应的投标文件才进行后续的比较与评价，否则作无效投标处理。</w:t>
      </w:r>
    </w:p>
    <w:p>
      <w:pPr>
        <w:pStyle w:val="5"/>
        <w:adjustRightInd w:val="0"/>
        <w:snapToGrid w:val="0"/>
        <w:spacing w:line="276" w:lineRule="auto"/>
        <w:ind w:left="1020" w:leftChars="200" w:hanging="540" w:hangingChars="225"/>
        <w:rPr>
          <w:rFonts w:hint="eastAsia" w:ascii="仿宋" w:hAnsi="仿宋" w:eastAsia="仿宋"/>
          <w:kern w:val="0"/>
          <w:szCs w:val="24"/>
        </w:rPr>
      </w:pPr>
      <w:r>
        <w:rPr>
          <w:rFonts w:hint="eastAsia" w:ascii="仿宋" w:hAnsi="仿宋" w:eastAsia="仿宋"/>
          <w:kern w:val="0"/>
          <w:szCs w:val="24"/>
        </w:rPr>
        <w:t>3.2投标文件中《开标一览表》内容与投标文件中《投标明细报价表》内容不一致的，以《开标一览表》为准；</w:t>
      </w:r>
      <w:r>
        <w:rPr>
          <w:rFonts w:hint="eastAsia" w:ascii="仿宋" w:hAnsi="仿宋" w:eastAsia="仿宋"/>
          <w:szCs w:val="24"/>
        </w:rPr>
        <w:t>投标文件的大写金额和小写金额不一致的，以大写金额为准；总价金额与按单价汇总金额不一致的，以单价金额计算结果为准；单价金额小数点有明显错位的，应以总价为准，并修改单价。对不同文字文本投标文件的解释发生异议的，以中文文本为准。如果投标人不接受对其错误的更正，其投标将被拒绝。</w:t>
      </w:r>
    </w:p>
    <w:p>
      <w:pPr>
        <w:pStyle w:val="5"/>
        <w:adjustRightInd w:val="0"/>
        <w:snapToGrid w:val="0"/>
        <w:spacing w:line="276" w:lineRule="auto"/>
        <w:ind w:left="1020" w:leftChars="200" w:hanging="540" w:hangingChars="225"/>
        <w:rPr>
          <w:rFonts w:hint="eastAsia" w:ascii="仿宋" w:hAnsi="仿宋" w:eastAsia="仿宋"/>
          <w:kern w:val="0"/>
          <w:szCs w:val="24"/>
        </w:rPr>
      </w:pPr>
      <w:r>
        <w:rPr>
          <w:rFonts w:hint="eastAsia" w:ascii="仿宋" w:hAnsi="仿宋" w:eastAsia="仿宋"/>
          <w:kern w:val="0"/>
          <w:szCs w:val="24"/>
        </w:rPr>
        <w:t>3.3在详细评标之前，评审委员会要审查每份投标文件是否实质上响应了招标文件的要求。实质上响应的投标文件应该是与招标文件要求的关键条款、条件相符没有实质偏离的投标文件。评审委员会决定投标文件的响应程度只依据投标文件本身的真实无误的内容，而不依据外部的证据。但投标文件有不真实、不正确内容的除外。</w:t>
      </w:r>
    </w:p>
    <w:p>
      <w:pPr>
        <w:pStyle w:val="5"/>
        <w:adjustRightInd w:val="0"/>
        <w:snapToGrid w:val="0"/>
        <w:spacing w:line="276" w:lineRule="auto"/>
        <w:ind w:left="1020" w:leftChars="200" w:hanging="540" w:hangingChars="225"/>
        <w:rPr>
          <w:rFonts w:hint="eastAsia" w:ascii="仿宋" w:hAnsi="仿宋" w:eastAsia="仿宋"/>
          <w:b/>
          <w:kern w:val="0"/>
          <w:szCs w:val="24"/>
        </w:rPr>
      </w:pPr>
      <w:r>
        <w:rPr>
          <w:rFonts w:hint="eastAsia" w:ascii="仿宋" w:hAnsi="仿宋" w:eastAsia="仿宋"/>
          <w:b/>
          <w:kern w:val="0"/>
          <w:szCs w:val="24"/>
        </w:rPr>
        <w:t>3.4 投标人有下列情形之一的，其投标将被视为无效投标：</w:t>
      </w:r>
    </w:p>
    <w:p>
      <w:pPr>
        <w:tabs>
          <w:tab w:val="left" w:pos="8280"/>
        </w:tabs>
        <w:autoSpaceDE w:val="0"/>
        <w:autoSpaceDN w:val="0"/>
        <w:adjustRightInd w:val="0"/>
        <w:snapToGrid w:val="0"/>
        <w:spacing w:line="276" w:lineRule="auto"/>
        <w:ind w:left="1027" w:leftChars="428" w:right="32"/>
        <w:rPr>
          <w:rFonts w:hint="eastAsia" w:ascii="仿宋" w:hAnsi="仿宋" w:eastAsia="仿宋"/>
          <w:kern w:val="0"/>
        </w:rPr>
      </w:pPr>
      <w:r>
        <w:rPr>
          <w:rFonts w:hint="eastAsia" w:ascii="仿宋" w:hAnsi="仿宋" w:eastAsia="仿宋"/>
          <w:kern w:val="0"/>
        </w:rPr>
        <w:t>实质上没有响应招标文件要求的投标将被视为无效投标。投标人不得通过修正或撤销不合要求的偏离从而使其投标文件成为实质上响应的投标。</w:t>
      </w:r>
    </w:p>
    <w:p>
      <w:pPr>
        <w:spacing w:line="276" w:lineRule="auto"/>
        <w:ind w:left="1920" w:leftChars="450" w:hanging="840" w:hangingChars="350"/>
        <w:rPr>
          <w:rFonts w:hint="eastAsia" w:ascii="仿宋" w:hAnsi="仿宋" w:eastAsia="仿宋"/>
          <w:b/>
          <w:kern w:val="0"/>
        </w:rPr>
      </w:pPr>
      <w:r>
        <w:rPr>
          <w:rFonts w:hint="eastAsia" w:ascii="仿宋" w:hAnsi="仿宋" w:eastAsia="仿宋"/>
          <w:b/>
          <w:kern w:val="0"/>
        </w:rPr>
        <w:t>3.4.1在资格性审查、符合性检查时，如发现下列情形之一的，投标文件将确定为无效投标：</w:t>
      </w:r>
    </w:p>
    <w:p>
      <w:pPr>
        <w:pStyle w:val="5"/>
        <w:adjustRightInd w:val="0"/>
        <w:snapToGrid w:val="0"/>
        <w:spacing w:line="276" w:lineRule="auto"/>
        <w:ind w:left="655" w:leftChars="273" w:firstLine="1188" w:firstLineChars="495"/>
        <w:rPr>
          <w:rFonts w:hint="eastAsia" w:ascii="仿宋" w:hAnsi="仿宋" w:eastAsia="仿宋"/>
          <w:kern w:val="0"/>
          <w:szCs w:val="24"/>
        </w:rPr>
      </w:pPr>
      <w:r>
        <w:rPr>
          <w:rFonts w:hint="eastAsia" w:ascii="仿宋" w:hAnsi="仿宋" w:eastAsia="仿宋"/>
          <w:kern w:val="0"/>
          <w:szCs w:val="24"/>
        </w:rPr>
        <w:t xml:space="preserve">1）投标总金额超过本项目采购预算或报价上限且采购人不能接受的； </w:t>
      </w:r>
    </w:p>
    <w:p>
      <w:pPr>
        <w:pStyle w:val="5"/>
        <w:adjustRightInd w:val="0"/>
        <w:snapToGrid w:val="0"/>
        <w:spacing w:line="276" w:lineRule="auto"/>
        <w:ind w:left="655" w:leftChars="273" w:right="-144" w:rightChars="-60" w:firstLine="1188" w:firstLineChars="495"/>
        <w:rPr>
          <w:rFonts w:hint="eastAsia" w:ascii="仿宋" w:hAnsi="仿宋" w:eastAsia="仿宋"/>
          <w:kern w:val="0"/>
          <w:szCs w:val="24"/>
        </w:rPr>
      </w:pPr>
      <w:r>
        <w:rPr>
          <w:rFonts w:hint="eastAsia" w:ascii="仿宋" w:hAnsi="仿宋" w:eastAsia="仿宋"/>
          <w:kern w:val="0"/>
          <w:szCs w:val="24"/>
        </w:rPr>
        <w:t>2）投标人的投标文件或资格证明文件未提供或不符合招标文件要求的；</w:t>
      </w:r>
    </w:p>
    <w:p>
      <w:pPr>
        <w:pStyle w:val="5"/>
        <w:adjustRightInd w:val="0"/>
        <w:snapToGrid w:val="0"/>
        <w:spacing w:line="276" w:lineRule="auto"/>
        <w:ind w:left="655" w:leftChars="273" w:firstLine="1188" w:firstLineChars="495"/>
        <w:rPr>
          <w:rFonts w:hint="eastAsia" w:ascii="仿宋" w:hAnsi="仿宋" w:eastAsia="仿宋"/>
          <w:kern w:val="0"/>
          <w:szCs w:val="24"/>
        </w:rPr>
      </w:pPr>
      <w:r>
        <w:rPr>
          <w:rFonts w:hint="eastAsia" w:ascii="仿宋" w:hAnsi="仿宋" w:eastAsia="仿宋"/>
          <w:kern w:val="0"/>
          <w:szCs w:val="24"/>
        </w:rPr>
        <w:t xml:space="preserve">3）不具备招标文件中规定资格要求的； </w:t>
      </w:r>
    </w:p>
    <w:p>
      <w:pPr>
        <w:pStyle w:val="5"/>
        <w:adjustRightInd w:val="0"/>
        <w:snapToGrid w:val="0"/>
        <w:spacing w:line="276" w:lineRule="auto"/>
        <w:ind w:left="655" w:leftChars="273" w:firstLine="1188" w:firstLineChars="495"/>
        <w:rPr>
          <w:rFonts w:hint="eastAsia" w:ascii="仿宋" w:hAnsi="仿宋" w:eastAsia="仿宋"/>
          <w:kern w:val="0"/>
          <w:szCs w:val="24"/>
        </w:rPr>
      </w:pPr>
      <w:r>
        <w:rPr>
          <w:rFonts w:hint="eastAsia" w:ascii="仿宋" w:hAnsi="仿宋" w:eastAsia="仿宋"/>
          <w:kern w:val="0"/>
          <w:szCs w:val="24"/>
        </w:rPr>
        <w:t>4）未按照招标文件规定要求签署、盖章的；</w:t>
      </w:r>
    </w:p>
    <w:p>
      <w:pPr>
        <w:pStyle w:val="5"/>
        <w:adjustRightInd w:val="0"/>
        <w:snapToGrid w:val="0"/>
        <w:spacing w:line="276" w:lineRule="auto"/>
        <w:ind w:left="655" w:leftChars="273" w:firstLine="1188" w:firstLineChars="495"/>
        <w:rPr>
          <w:rFonts w:hint="eastAsia" w:ascii="仿宋" w:hAnsi="仿宋" w:eastAsia="仿宋"/>
          <w:kern w:val="0"/>
          <w:szCs w:val="24"/>
        </w:rPr>
      </w:pPr>
      <w:r>
        <w:rPr>
          <w:rFonts w:hint="eastAsia" w:ascii="仿宋" w:hAnsi="仿宋" w:eastAsia="仿宋"/>
          <w:kern w:val="0"/>
          <w:szCs w:val="24"/>
        </w:rPr>
        <w:t>5）投标文件无法定代表人签字或签字人无法定代表人有效授权的；</w:t>
      </w:r>
    </w:p>
    <w:p>
      <w:pPr>
        <w:pStyle w:val="5"/>
        <w:adjustRightInd w:val="0"/>
        <w:snapToGrid w:val="0"/>
        <w:spacing w:line="276" w:lineRule="auto"/>
        <w:ind w:left="655" w:leftChars="273" w:firstLine="1188" w:firstLineChars="495"/>
        <w:rPr>
          <w:rFonts w:hint="eastAsia" w:ascii="仿宋" w:hAnsi="仿宋" w:eastAsia="仿宋"/>
          <w:kern w:val="0"/>
          <w:szCs w:val="24"/>
        </w:rPr>
      </w:pPr>
      <w:r>
        <w:rPr>
          <w:rFonts w:hint="eastAsia" w:ascii="仿宋" w:hAnsi="仿宋" w:eastAsia="仿宋"/>
          <w:kern w:val="0"/>
          <w:szCs w:val="24"/>
        </w:rPr>
        <w:t>6）投标有效期不足的；</w:t>
      </w:r>
    </w:p>
    <w:p>
      <w:pPr>
        <w:pStyle w:val="5"/>
        <w:adjustRightInd w:val="0"/>
        <w:snapToGrid w:val="0"/>
        <w:spacing w:line="276" w:lineRule="auto"/>
        <w:ind w:left="2203" w:leftChars="768" w:hanging="360" w:hangingChars="150"/>
        <w:rPr>
          <w:rFonts w:hint="eastAsia" w:ascii="仿宋" w:hAnsi="仿宋" w:eastAsia="仿宋"/>
          <w:kern w:val="0"/>
          <w:szCs w:val="24"/>
        </w:rPr>
      </w:pPr>
      <w:r>
        <w:rPr>
          <w:rFonts w:hint="eastAsia" w:ascii="仿宋" w:hAnsi="仿宋" w:eastAsia="仿宋"/>
          <w:kern w:val="0"/>
          <w:szCs w:val="24"/>
        </w:rPr>
        <w:t>7）投标文件对招标文件的实质性技术与商务的（即标注★号条款）条款产生偏离的；</w:t>
      </w:r>
    </w:p>
    <w:p>
      <w:pPr>
        <w:pStyle w:val="5"/>
        <w:adjustRightInd w:val="0"/>
        <w:snapToGrid w:val="0"/>
        <w:spacing w:line="276" w:lineRule="auto"/>
        <w:ind w:left="655" w:leftChars="273" w:firstLine="1188" w:firstLineChars="495"/>
        <w:rPr>
          <w:rFonts w:hint="eastAsia" w:ascii="仿宋" w:hAnsi="仿宋" w:eastAsia="仿宋"/>
          <w:kern w:val="0"/>
          <w:szCs w:val="24"/>
        </w:rPr>
      </w:pPr>
      <w:r>
        <w:rPr>
          <w:rFonts w:hint="eastAsia" w:ascii="仿宋" w:hAnsi="仿宋" w:eastAsia="仿宋"/>
          <w:kern w:val="0"/>
          <w:szCs w:val="24"/>
        </w:rPr>
        <w:t>8）符合招标文件中规定的被视为无效投标的其它条款的；</w:t>
      </w:r>
    </w:p>
    <w:p>
      <w:pPr>
        <w:pStyle w:val="5"/>
        <w:adjustRightInd w:val="0"/>
        <w:snapToGrid w:val="0"/>
        <w:spacing w:line="276" w:lineRule="auto"/>
        <w:ind w:left="655" w:leftChars="273" w:firstLine="1188" w:firstLineChars="495"/>
        <w:rPr>
          <w:rFonts w:hint="eastAsia" w:ascii="仿宋" w:hAnsi="仿宋" w:eastAsia="仿宋"/>
          <w:kern w:val="0"/>
          <w:szCs w:val="24"/>
        </w:rPr>
      </w:pPr>
      <w:r>
        <w:rPr>
          <w:rFonts w:hint="eastAsia" w:ascii="仿宋" w:hAnsi="仿宋" w:eastAsia="仿宋"/>
          <w:kern w:val="0"/>
          <w:szCs w:val="24"/>
        </w:rPr>
        <w:t>9）不符合法律、法规规定的其他实质性要求的。</w:t>
      </w:r>
    </w:p>
    <w:p>
      <w:pPr>
        <w:autoSpaceDE w:val="0"/>
        <w:autoSpaceDN w:val="0"/>
        <w:adjustRightInd w:val="0"/>
        <w:spacing w:line="276" w:lineRule="auto"/>
        <w:ind w:left="1800" w:leftChars="450" w:hanging="720" w:hangingChars="300"/>
        <w:jc w:val="left"/>
        <w:rPr>
          <w:rFonts w:hint="eastAsia" w:ascii="仿宋" w:hAnsi="仿宋" w:eastAsia="仿宋"/>
          <w:kern w:val="0"/>
        </w:rPr>
      </w:pPr>
      <w:r>
        <w:rPr>
          <w:rFonts w:hint="eastAsia" w:ascii="仿宋" w:hAnsi="仿宋" w:eastAsia="仿宋"/>
          <w:kern w:val="0"/>
        </w:rPr>
        <w:t>3.4.2评审委员会对各投标人进行资格性和符合性审查过程中，对初步被认定为初审不合格或无效投标者应实行及时告知，由评审委员会主任或采购人代表将集体意见现场及时告知投标当事人，以让其核证、澄清事实。</w:t>
      </w:r>
    </w:p>
    <w:p>
      <w:pPr>
        <w:autoSpaceDE w:val="0"/>
        <w:autoSpaceDN w:val="0"/>
        <w:adjustRightInd w:val="0"/>
        <w:spacing w:line="276" w:lineRule="auto"/>
        <w:ind w:left="840" w:leftChars="200" w:hanging="360" w:hangingChars="150"/>
        <w:jc w:val="left"/>
        <w:rPr>
          <w:rFonts w:hint="eastAsia" w:ascii="仿宋" w:hAnsi="仿宋" w:eastAsia="仿宋"/>
          <w:kern w:val="0"/>
        </w:rPr>
      </w:pPr>
      <w:r>
        <w:rPr>
          <w:rFonts w:hint="eastAsia" w:ascii="仿宋" w:hAnsi="仿宋" w:eastAsia="仿宋"/>
          <w:kern w:val="0"/>
        </w:rPr>
        <w:t>3.5投标人不得以低于成本的报价竞标，若投标报价采购预算价低35%（含35%）以上的，投标人必须在其投标文件中作出合理说明并提供相关证明材料；投标人不能合理说明或不能提供相关证明材料的，经评审委员会对投标报价的成本清单评定，认为投标报价与市场报价存在较大差异且投标人对履约能力方面无合理说明的，将视为不符合资格性、符合性审查所列的对应的情形。该项目招标文件对投标报价提出特别要求的除外。</w:t>
      </w:r>
    </w:p>
    <w:p>
      <w:pPr>
        <w:tabs>
          <w:tab w:val="left" w:pos="8280"/>
        </w:tabs>
        <w:autoSpaceDE w:val="0"/>
        <w:autoSpaceDN w:val="0"/>
        <w:adjustRightInd w:val="0"/>
        <w:snapToGrid w:val="0"/>
        <w:spacing w:line="276" w:lineRule="auto"/>
        <w:ind w:left="480" w:right="32" w:hanging="480" w:hangingChars="200"/>
        <w:rPr>
          <w:rFonts w:hint="eastAsia" w:ascii="仿宋" w:hAnsi="仿宋" w:eastAsia="仿宋"/>
          <w:kern w:val="0"/>
        </w:rPr>
      </w:pPr>
      <w:r>
        <w:rPr>
          <w:rFonts w:hint="eastAsia" w:ascii="仿宋" w:hAnsi="仿宋" w:eastAsia="仿宋"/>
          <w:kern w:val="0"/>
        </w:rPr>
        <w:t>4、投标的比较和评价</w:t>
      </w:r>
    </w:p>
    <w:p>
      <w:pPr>
        <w:autoSpaceDE w:val="0"/>
        <w:autoSpaceDN w:val="0"/>
        <w:adjustRightInd w:val="0"/>
        <w:snapToGrid w:val="0"/>
        <w:spacing w:line="276" w:lineRule="auto"/>
        <w:ind w:left="540" w:leftChars="200" w:right="32" w:hanging="60" w:hangingChars="25"/>
        <w:rPr>
          <w:rFonts w:hint="eastAsia" w:ascii="仿宋" w:hAnsi="仿宋" w:eastAsia="仿宋"/>
          <w:kern w:val="0"/>
        </w:rPr>
      </w:pPr>
      <w:r>
        <w:rPr>
          <w:rFonts w:hint="eastAsia" w:ascii="仿宋" w:hAnsi="仿宋" w:eastAsia="仿宋"/>
          <w:kern w:val="0"/>
        </w:rPr>
        <w:t>评审委员会只对确定为实质上响应招标文件要求的投标文件进行评价和比较。</w:t>
      </w:r>
    </w:p>
    <w:p>
      <w:pPr>
        <w:tabs>
          <w:tab w:val="left" w:pos="840"/>
        </w:tabs>
        <w:adjustRightInd w:val="0"/>
        <w:snapToGrid w:val="0"/>
        <w:spacing w:line="276" w:lineRule="auto"/>
        <w:rPr>
          <w:rFonts w:hint="eastAsia" w:ascii="仿宋" w:hAnsi="仿宋" w:eastAsia="仿宋"/>
        </w:rPr>
      </w:pPr>
      <w:r>
        <w:rPr>
          <w:rFonts w:hint="eastAsia" w:ascii="仿宋" w:hAnsi="仿宋" w:eastAsia="仿宋"/>
        </w:rPr>
        <w:t>5、授标</w:t>
      </w:r>
    </w:p>
    <w:p>
      <w:pPr>
        <w:tabs>
          <w:tab w:val="left" w:pos="0"/>
        </w:tabs>
        <w:adjustRightInd w:val="0"/>
        <w:snapToGrid w:val="0"/>
        <w:spacing w:line="276" w:lineRule="auto"/>
        <w:ind w:left="1020" w:leftChars="200" w:hanging="540" w:hangingChars="225"/>
        <w:rPr>
          <w:rFonts w:hint="eastAsia" w:ascii="仿宋" w:hAnsi="仿宋" w:eastAsia="仿宋"/>
        </w:rPr>
      </w:pPr>
      <w:r>
        <w:rPr>
          <w:rFonts w:hint="eastAsia" w:ascii="仿宋" w:hAnsi="仿宋" w:eastAsia="仿宋"/>
        </w:rPr>
        <w:t>6.1评审委员会按照招标文件确定的评标方法、步骤、标准，对投标文件进行评审，推荐中标候选人名单，并编写书面评标报告。</w:t>
      </w:r>
    </w:p>
    <w:p>
      <w:pPr>
        <w:tabs>
          <w:tab w:val="left" w:pos="0"/>
        </w:tabs>
        <w:adjustRightInd w:val="0"/>
        <w:snapToGrid w:val="0"/>
        <w:spacing w:line="276" w:lineRule="auto"/>
        <w:ind w:left="1020" w:leftChars="200" w:hanging="540" w:hangingChars="225"/>
        <w:rPr>
          <w:rFonts w:hint="eastAsia" w:ascii="仿宋" w:hAnsi="仿宋" w:eastAsia="仿宋"/>
        </w:rPr>
      </w:pPr>
      <w:r>
        <w:rPr>
          <w:rFonts w:hint="eastAsia" w:ascii="仿宋" w:hAnsi="仿宋" w:eastAsia="仿宋"/>
        </w:rPr>
        <w:t>6.2采购人在评标结束后五个工作日内，按照评标报告中推荐的中标候选人顺序确定中标人。</w:t>
      </w:r>
    </w:p>
    <w:p>
      <w:pPr>
        <w:tabs>
          <w:tab w:val="left" w:pos="0"/>
        </w:tabs>
        <w:adjustRightInd w:val="0"/>
        <w:snapToGrid w:val="0"/>
        <w:spacing w:line="276" w:lineRule="auto"/>
        <w:ind w:left="1020" w:leftChars="200" w:hanging="540" w:hangingChars="225"/>
        <w:rPr>
          <w:rFonts w:hint="eastAsia" w:ascii="仿宋" w:hAnsi="仿宋" w:eastAsia="仿宋"/>
          <w:kern w:val="0"/>
        </w:rPr>
      </w:pPr>
      <w:r>
        <w:rPr>
          <w:rFonts w:hint="eastAsia" w:ascii="仿宋" w:hAnsi="仿宋" w:eastAsia="仿宋"/>
        </w:rPr>
        <w:t>6.3中标人确定后，</w:t>
      </w:r>
      <w:r>
        <w:rPr>
          <w:rFonts w:hint="eastAsia" w:ascii="仿宋" w:hAnsi="仿宋" w:eastAsia="仿宋"/>
          <w:lang w:eastAsia="zh-CN"/>
        </w:rPr>
        <w:t>惠州市中医医院</w:t>
      </w:r>
      <w:r>
        <w:rPr>
          <w:rFonts w:hint="eastAsia" w:ascii="仿宋" w:hAnsi="仿宋" w:eastAsia="仿宋"/>
        </w:rPr>
        <w:t>将在相关媒体上发布中标公告，并</w:t>
      </w:r>
      <w:r>
        <w:rPr>
          <w:rFonts w:hint="eastAsia" w:ascii="仿宋" w:hAnsi="仿宋" w:eastAsia="仿宋"/>
          <w:kern w:val="0"/>
        </w:rPr>
        <w:t>向中标人发出《中标通知书》，《中标通知书》</w:t>
      </w:r>
      <w:r>
        <w:rPr>
          <w:rFonts w:hint="eastAsia" w:ascii="仿宋" w:hAnsi="仿宋" w:eastAsia="仿宋"/>
        </w:rPr>
        <w:t>对中标人和采购人具有同等法律效力</w:t>
      </w:r>
      <w:r>
        <w:rPr>
          <w:rFonts w:hint="eastAsia" w:ascii="仿宋" w:hAnsi="仿宋" w:eastAsia="仿宋"/>
          <w:kern w:val="0"/>
        </w:rPr>
        <w:t>。</w:t>
      </w:r>
    </w:p>
    <w:p>
      <w:pPr>
        <w:autoSpaceDE w:val="0"/>
        <w:autoSpaceDN w:val="0"/>
        <w:adjustRightInd w:val="0"/>
        <w:snapToGrid w:val="0"/>
        <w:spacing w:line="276" w:lineRule="auto"/>
        <w:ind w:right="32"/>
        <w:rPr>
          <w:rFonts w:hint="eastAsia" w:ascii="仿宋" w:hAnsi="仿宋" w:eastAsia="仿宋"/>
          <w:kern w:val="0"/>
        </w:rPr>
      </w:pPr>
      <w:r>
        <w:rPr>
          <w:rFonts w:hint="eastAsia" w:ascii="仿宋" w:hAnsi="仿宋" w:eastAsia="仿宋"/>
          <w:kern w:val="0"/>
        </w:rPr>
        <w:t>7、评标注意事项</w:t>
      </w:r>
    </w:p>
    <w:p>
      <w:pPr>
        <w:autoSpaceDE w:val="0"/>
        <w:autoSpaceDN w:val="0"/>
        <w:adjustRightInd w:val="0"/>
        <w:snapToGrid w:val="0"/>
        <w:spacing w:line="276" w:lineRule="auto"/>
        <w:ind w:left="960" w:leftChars="200" w:hanging="480" w:hangingChars="200"/>
        <w:rPr>
          <w:rFonts w:hint="eastAsia" w:ascii="仿宋" w:hAnsi="仿宋" w:eastAsia="仿宋"/>
          <w:kern w:val="0"/>
        </w:rPr>
      </w:pPr>
      <w:r>
        <w:rPr>
          <w:rFonts w:hint="eastAsia" w:ascii="仿宋" w:hAnsi="仿宋" w:eastAsia="仿宋"/>
          <w:kern w:val="0"/>
        </w:rPr>
        <w:t>7.1评审委员会除主动询标外，从开标后至发出《中标通知书》期间，任何投标人均不得就与其投标有关的任何问题与采购人及评审委员会联系。</w:t>
      </w:r>
    </w:p>
    <w:p>
      <w:pPr>
        <w:autoSpaceDE w:val="0"/>
        <w:autoSpaceDN w:val="0"/>
        <w:adjustRightInd w:val="0"/>
        <w:snapToGrid w:val="0"/>
        <w:spacing w:line="276" w:lineRule="auto"/>
        <w:ind w:left="960" w:leftChars="200" w:hanging="480" w:hangingChars="200"/>
        <w:rPr>
          <w:rFonts w:hint="eastAsia" w:ascii="仿宋" w:hAnsi="仿宋" w:eastAsia="仿宋"/>
          <w:kern w:val="0"/>
        </w:rPr>
      </w:pPr>
      <w:r>
        <w:rPr>
          <w:rFonts w:hint="eastAsia" w:ascii="仿宋" w:hAnsi="仿宋" w:eastAsia="仿宋"/>
          <w:kern w:val="0"/>
        </w:rPr>
        <w:t>7.2为保证采购活动的公正性，除本须知规定外，在开标、评标过程中，评审委员会成员不得与投标人私下交换意见。在招标工作结束后，评审委员会成员和参与评标的有关工作人员不得泄漏对投标文件的评审和比较以及与评标有关的其他情况。</w:t>
      </w:r>
    </w:p>
    <w:p>
      <w:pPr>
        <w:pStyle w:val="5"/>
        <w:adjustRightInd w:val="0"/>
        <w:snapToGrid w:val="0"/>
        <w:spacing w:line="276" w:lineRule="auto"/>
        <w:outlineLvl w:val="1"/>
        <w:rPr>
          <w:rFonts w:hint="eastAsia" w:ascii="仿宋" w:hAnsi="仿宋" w:eastAsia="仿宋"/>
          <w:b/>
          <w:szCs w:val="24"/>
        </w:rPr>
      </w:pPr>
      <w:bookmarkStart w:id="8" w:name="_Toc478765527"/>
      <w:r>
        <w:rPr>
          <w:rFonts w:hint="eastAsia" w:ascii="仿宋" w:hAnsi="仿宋" w:eastAsia="仿宋"/>
          <w:b/>
          <w:szCs w:val="24"/>
        </w:rPr>
        <w:t>六、适用法律</w:t>
      </w:r>
      <w:bookmarkEnd w:id="8"/>
    </w:p>
    <w:p>
      <w:pPr>
        <w:pStyle w:val="5"/>
        <w:adjustRightInd w:val="0"/>
        <w:snapToGrid w:val="0"/>
        <w:spacing w:line="276" w:lineRule="auto"/>
        <w:ind w:left="360" w:leftChars="150" w:firstLine="120" w:firstLineChars="50"/>
        <w:rPr>
          <w:rFonts w:hint="eastAsia" w:ascii="仿宋" w:hAnsi="仿宋" w:eastAsia="仿宋"/>
          <w:szCs w:val="24"/>
        </w:rPr>
      </w:pPr>
      <w:r>
        <w:rPr>
          <w:rFonts w:hint="eastAsia" w:ascii="仿宋" w:hAnsi="仿宋" w:eastAsia="仿宋"/>
        </w:rPr>
        <w:t>招标采购单位及投标人的一切招标投标活动均适用《中华人民共和国政府采购法》、《中华人民共和国招标投标法》及其配套的法规、规章、政策。</w:t>
      </w:r>
    </w:p>
    <w:p>
      <w:pPr>
        <w:pStyle w:val="5"/>
        <w:adjustRightInd w:val="0"/>
        <w:snapToGrid w:val="0"/>
        <w:spacing w:line="276" w:lineRule="auto"/>
        <w:outlineLvl w:val="1"/>
        <w:rPr>
          <w:rFonts w:hint="eastAsia" w:ascii="仿宋" w:hAnsi="仿宋" w:eastAsia="仿宋"/>
          <w:b/>
          <w:szCs w:val="24"/>
        </w:rPr>
      </w:pPr>
      <w:bookmarkStart w:id="9" w:name="_Toc478765528"/>
      <w:r>
        <w:rPr>
          <w:rFonts w:hint="eastAsia" w:ascii="仿宋" w:hAnsi="仿宋" w:eastAsia="仿宋"/>
          <w:b/>
          <w:szCs w:val="24"/>
        </w:rPr>
        <w:t>十、评标方法、步骤及标准</w:t>
      </w:r>
      <w:bookmarkEnd w:id="9"/>
    </w:p>
    <w:p>
      <w:pPr>
        <w:autoSpaceDE w:val="0"/>
        <w:autoSpaceDN w:val="0"/>
        <w:adjustRightInd w:val="0"/>
        <w:spacing w:line="276" w:lineRule="auto"/>
        <w:ind w:left="480" w:leftChars="200"/>
        <w:jc w:val="left"/>
        <w:rPr>
          <w:rFonts w:hint="eastAsia" w:ascii="仿宋" w:hAnsi="仿宋" w:eastAsia="仿宋"/>
        </w:rPr>
      </w:pPr>
      <w:r>
        <w:rPr>
          <w:rFonts w:hint="eastAsia" w:ascii="仿宋" w:hAnsi="仿宋" w:eastAsia="仿宋"/>
        </w:rPr>
        <w:t>根据《中华人民共和国政府采购法》、《中华人民共和国招标投标法》的相关规定确定以下评标方法、步骤及标准：</w:t>
      </w:r>
    </w:p>
    <w:p>
      <w:pPr>
        <w:autoSpaceDE w:val="0"/>
        <w:autoSpaceDN w:val="0"/>
        <w:adjustRightInd w:val="0"/>
        <w:snapToGrid w:val="0"/>
        <w:spacing w:line="276" w:lineRule="auto"/>
        <w:ind w:left="420" w:right="34" w:hanging="420"/>
        <w:rPr>
          <w:rFonts w:hint="eastAsia" w:ascii="仿宋" w:hAnsi="仿宋" w:eastAsia="仿宋"/>
        </w:rPr>
      </w:pPr>
      <w:r>
        <w:rPr>
          <w:rFonts w:hint="eastAsia" w:ascii="仿宋" w:hAnsi="仿宋" w:eastAsia="仿宋"/>
        </w:rPr>
        <w:t>1、评标方法</w:t>
      </w:r>
    </w:p>
    <w:p>
      <w:pPr>
        <w:pStyle w:val="3"/>
        <w:ind w:firstLine="359"/>
        <w:rPr>
          <w:rFonts w:hint="eastAsia" w:ascii="仿宋" w:hAnsi="仿宋" w:eastAsia="仿宋"/>
          <w:color w:val="FF0000"/>
        </w:rPr>
      </w:pPr>
      <w:r>
        <w:rPr>
          <w:rFonts w:hint="eastAsia" w:ascii="仿宋" w:hAnsi="仿宋" w:eastAsia="仿宋"/>
          <w:color w:val="FF0000"/>
        </w:rPr>
        <w:t>本次评标采用综合评分法，即在最大限度地满足招标文件实质性要求前提下，按技术、商务和价格三部分分别打分的方式进行评分。三项总分为100分，其中技术得分占</w:t>
      </w:r>
      <w:r>
        <w:rPr>
          <w:rFonts w:hint="eastAsia" w:ascii="仿宋" w:hAnsi="仿宋" w:eastAsia="仿宋"/>
          <w:color w:val="FF0000"/>
          <w:lang w:val="en-US" w:eastAsia="zh-CN"/>
        </w:rPr>
        <w:t>25</w:t>
      </w:r>
      <w:r>
        <w:rPr>
          <w:rFonts w:hint="eastAsia" w:ascii="仿宋" w:hAnsi="仿宋" w:eastAsia="仿宋"/>
          <w:color w:val="FF0000"/>
        </w:rPr>
        <w:t>分，商务得分占</w:t>
      </w:r>
      <w:r>
        <w:rPr>
          <w:rFonts w:hint="eastAsia" w:ascii="仿宋" w:hAnsi="仿宋" w:eastAsia="仿宋"/>
          <w:color w:val="FF0000"/>
          <w:lang w:val="en-US" w:eastAsia="zh-CN"/>
        </w:rPr>
        <w:t>55</w:t>
      </w:r>
      <w:r>
        <w:rPr>
          <w:rFonts w:hint="eastAsia" w:ascii="仿宋" w:hAnsi="仿宋" w:eastAsia="仿宋"/>
          <w:color w:val="FF0000"/>
        </w:rPr>
        <w:t>分，价格得分占</w:t>
      </w:r>
      <w:r>
        <w:rPr>
          <w:rFonts w:hint="eastAsia" w:ascii="仿宋" w:hAnsi="仿宋" w:eastAsia="仿宋"/>
          <w:color w:val="FF0000"/>
          <w:lang w:val="en-US" w:eastAsia="zh-CN"/>
        </w:rPr>
        <w:t>2</w:t>
      </w:r>
      <w:r>
        <w:rPr>
          <w:rFonts w:hint="eastAsia" w:ascii="仿宋" w:hAnsi="仿宋" w:eastAsia="仿宋"/>
          <w:color w:val="FF0000"/>
        </w:rPr>
        <w:t>0分，以评标总得分最高的投标人作为第一中标候选人，以评标总得分次高的投标人作为第二中标候选人。</w:t>
      </w:r>
    </w:p>
    <w:p>
      <w:pPr>
        <w:pStyle w:val="3"/>
        <w:ind w:firstLine="359"/>
        <w:rPr>
          <w:rFonts w:hint="eastAsia" w:ascii="仿宋" w:hAnsi="仿宋" w:eastAsia="仿宋"/>
          <w:color w:val="FF0000"/>
        </w:rPr>
      </w:pPr>
    </w:p>
    <w:p>
      <w:pPr>
        <w:autoSpaceDE w:val="0"/>
        <w:autoSpaceDN w:val="0"/>
        <w:adjustRightInd w:val="0"/>
        <w:snapToGrid w:val="0"/>
        <w:spacing w:line="276" w:lineRule="auto"/>
        <w:ind w:left="420" w:right="34" w:hanging="420"/>
        <w:rPr>
          <w:rFonts w:hint="eastAsia" w:ascii="仿宋" w:hAnsi="仿宋" w:eastAsia="仿宋"/>
        </w:rPr>
      </w:pPr>
      <w:r>
        <w:rPr>
          <w:rFonts w:hint="eastAsia" w:ascii="仿宋" w:hAnsi="仿宋" w:eastAsia="仿宋"/>
        </w:rPr>
        <w:t>2、评标步骤</w:t>
      </w:r>
    </w:p>
    <w:p>
      <w:pPr>
        <w:pStyle w:val="3"/>
        <w:spacing w:line="276" w:lineRule="auto"/>
        <w:ind w:left="0" w:firstLine="480" w:firstLineChars="200"/>
        <w:rPr>
          <w:rFonts w:ascii="仿宋" w:hAnsi="仿宋" w:eastAsia="仿宋"/>
        </w:rPr>
      </w:pPr>
      <w:r>
        <w:rPr>
          <w:rFonts w:ascii="仿宋" w:hAnsi="仿宋" w:eastAsia="仿宋"/>
        </w:rPr>
        <w:t xml:space="preserve">评审委员会对投标文件的评审分为初审、比较与评价： </w:t>
      </w:r>
    </w:p>
    <w:p>
      <w:pPr>
        <w:pStyle w:val="3"/>
        <w:spacing w:line="276" w:lineRule="auto"/>
        <w:ind w:left="0" w:firstLine="360" w:firstLineChars="150"/>
        <w:rPr>
          <w:rFonts w:ascii="仿宋" w:hAnsi="仿宋" w:eastAsia="仿宋"/>
        </w:rPr>
      </w:pPr>
      <w:r>
        <w:rPr>
          <w:rFonts w:ascii="仿宋" w:hAnsi="仿宋" w:eastAsia="仿宋"/>
        </w:rPr>
        <w:t>（一）初审</w:t>
      </w:r>
    </w:p>
    <w:p>
      <w:pPr>
        <w:pStyle w:val="3"/>
        <w:spacing w:line="276" w:lineRule="auto"/>
        <w:ind w:left="0" w:firstLine="480" w:firstLineChars="200"/>
        <w:rPr>
          <w:rFonts w:hint="eastAsia" w:ascii="仿宋" w:hAnsi="仿宋" w:eastAsia="仿宋"/>
        </w:rPr>
      </w:pPr>
      <w:r>
        <w:rPr>
          <w:rFonts w:ascii="仿宋" w:hAnsi="仿宋" w:eastAsia="仿宋"/>
        </w:rPr>
        <w:t>1</w:t>
      </w:r>
      <w:r>
        <w:rPr>
          <w:rFonts w:hint="eastAsia" w:ascii="仿宋" w:hAnsi="仿宋" w:eastAsia="仿宋"/>
        </w:rPr>
        <w:t>）</w:t>
      </w:r>
      <w:r>
        <w:rPr>
          <w:rFonts w:ascii="仿宋" w:hAnsi="仿宋" w:eastAsia="仿宋"/>
        </w:rPr>
        <w:t>资格性检查；</w:t>
      </w:r>
    </w:p>
    <w:p>
      <w:pPr>
        <w:pStyle w:val="3"/>
        <w:spacing w:line="276" w:lineRule="auto"/>
        <w:ind w:left="0" w:firstLine="480" w:firstLineChars="200"/>
        <w:rPr>
          <w:rFonts w:ascii="仿宋" w:hAnsi="仿宋" w:eastAsia="仿宋"/>
        </w:rPr>
      </w:pPr>
      <w:r>
        <w:rPr>
          <w:rFonts w:ascii="仿宋" w:hAnsi="仿宋" w:eastAsia="仿宋"/>
        </w:rPr>
        <w:t>2</w:t>
      </w:r>
      <w:r>
        <w:rPr>
          <w:rFonts w:hint="eastAsia" w:ascii="仿宋" w:hAnsi="仿宋" w:eastAsia="仿宋"/>
        </w:rPr>
        <w:t>）</w:t>
      </w:r>
      <w:r>
        <w:rPr>
          <w:rFonts w:ascii="仿宋" w:hAnsi="仿宋" w:eastAsia="仿宋"/>
        </w:rPr>
        <w:t>符合性检查；</w:t>
      </w:r>
    </w:p>
    <w:p>
      <w:pPr>
        <w:pStyle w:val="3"/>
        <w:spacing w:line="276" w:lineRule="auto"/>
        <w:ind w:left="0" w:firstLine="480" w:firstLineChars="200"/>
        <w:rPr>
          <w:rFonts w:ascii="仿宋" w:hAnsi="仿宋" w:eastAsia="仿宋"/>
        </w:rPr>
      </w:pPr>
    </w:p>
    <w:p>
      <w:pPr>
        <w:pStyle w:val="3"/>
        <w:spacing w:line="276" w:lineRule="auto"/>
        <w:ind w:left="0" w:firstLine="480" w:firstLineChars="200"/>
        <w:rPr>
          <w:rFonts w:hint="eastAsia" w:ascii="仿宋" w:hAnsi="仿宋" w:eastAsia="仿宋"/>
        </w:rPr>
      </w:pPr>
    </w:p>
    <w:p>
      <w:pPr>
        <w:autoSpaceDE w:val="0"/>
        <w:autoSpaceDN w:val="0"/>
        <w:adjustRightInd w:val="0"/>
        <w:spacing w:line="276" w:lineRule="auto"/>
        <w:jc w:val="center"/>
        <w:rPr>
          <w:rFonts w:hint="eastAsia" w:ascii="仿宋" w:hAnsi="仿宋" w:eastAsia="仿宋" w:cs="宋体"/>
          <w:b/>
          <w:color w:val="000000"/>
          <w:kern w:val="0"/>
        </w:rPr>
      </w:pPr>
      <w:r>
        <w:rPr>
          <w:rFonts w:hint="eastAsia" w:ascii="仿宋" w:hAnsi="仿宋" w:eastAsia="仿宋" w:cs="宋体"/>
          <w:b/>
          <w:color w:val="000000"/>
          <w:kern w:val="0"/>
        </w:rPr>
        <w:t>初步审查表</w:t>
      </w:r>
    </w:p>
    <w:tbl>
      <w:tblPr>
        <w:tblStyle w:val="9"/>
        <w:tblW w:w="92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5107"/>
        <w:gridCol w:w="1178"/>
        <w:gridCol w:w="115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r>
              <w:rPr>
                <w:rFonts w:hint="eastAsia" w:ascii="仿宋" w:hAnsi="仿宋" w:eastAsia="仿宋"/>
              </w:rPr>
              <w:t>序号</w:t>
            </w:r>
          </w:p>
        </w:tc>
        <w:tc>
          <w:tcPr>
            <w:tcW w:w="5107"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r>
              <w:rPr>
                <w:rFonts w:hint="eastAsia" w:ascii="仿宋" w:hAnsi="仿宋" w:eastAsia="仿宋"/>
              </w:rPr>
              <w:t>评审内容</w:t>
            </w:r>
          </w:p>
        </w:tc>
        <w:tc>
          <w:tcPr>
            <w:tcW w:w="1178"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r>
              <w:rPr>
                <w:rFonts w:hint="eastAsia" w:ascii="仿宋" w:hAnsi="仿宋" w:eastAsia="仿宋"/>
              </w:rPr>
              <w:t>投标人A</w:t>
            </w:r>
          </w:p>
        </w:tc>
        <w:tc>
          <w:tcPr>
            <w:tcW w:w="1155"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r>
              <w:rPr>
                <w:rFonts w:hint="eastAsia" w:ascii="仿宋" w:hAnsi="仿宋" w:eastAsia="仿宋"/>
              </w:rPr>
              <w:t>投标人B</w:t>
            </w:r>
          </w:p>
        </w:tc>
        <w:tc>
          <w:tcPr>
            <w:tcW w:w="1134"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r>
              <w:rPr>
                <w:rFonts w:hint="eastAsia" w:ascii="仿宋" w:hAnsi="仿宋" w:eastAsia="仿宋"/>
              </w:rPr>
              <w:t>投标人C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2"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r>
              <w:rPr>
                <w:rFonts w:hint="eastAsia" w:ascii="仿宋" w:hAnsi="仿宋" w:eastAsia="仿宋"/>
              </w:rPr>
              <w:t>1</w:t>
            </w:r>
          </w:p>
        </w:tc>
        <w:tc>
          <w:tcPr>
            <w:tcW w:w="5107"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left"/>
              <w:rPr>
                <w:rFonts w:hint="eastAsia" w:ascii="仿宋" w:hAnsi="仿宋" w:eastAsia="仿宋" w:cs="宋体"/>
                <w:kern w:val="0"/>
              </w:rPr>
            </w:pPr>
            <w:r>
              <w:rPr>
                <w:rFonts w:hint="eastAsia" w:ascii="仿宋" w:hAnsi="仿宋" w:eastAsia="仿宋" w:cs="宋体"/>
                <w:kern w:val="0"/>
              </w:rPr>
              <w:t>投标总金额是否超出本项目采购预算</w:t>
            </w:r>
          </w:p>
        </w:tc>
        <w:tc>
          <w:tcPr>
            <w:tcW w:w="1178"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55"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2"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r>
              <w:rPr>
                <w:rFonts w:hint="eastAsia" w:ascii="仿宋" w:hAnsi="仿宋" w:eastAsia="仿宋"/>
              </w:rPr>
              <w:t>2</w:t>
            </w:r>
          </w:p>
        </w:tc>
        <w:tc>
          <w:tcPr>
            <w:tcW w:w="5107"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left"/>
              <w:rPr>
                <w:rFonts w:hint="eastAsia" w:ascii="仿宋" w:hAnsi="仿宋" w:eastAsia="仿宋" w:cs="宋体"/>
                <w:kern w:val="0"/>
              </w:rPr>
            </w:pPr>
            <w:r>
              <w:rPr>
                <w:rFonts w:hint="eastAsia" w:ascii="仿宋" w:hAnsi="仿宋" w:eastAsia="仿宋" w:cs="宋体"/>
                <w:kern w:val="0"/>
              </w:rPr>
              <w:t>投标文件或资格证明文件是否提供且符合招标文件要求</w:t>
            </w:r>
          </w:p>
        </w:tc>
        <w:tc>
          <w:tcPr>
            <w:tcW w:w="1178"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55"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3"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r>
              <w:rPr>
                <w:rFonts w:hint="eastAsia" w:ascii="仿宋" w:hAnsi="仿宋" w:eastAsia="仿宋"/>
              </w:rPr>
              <w:t>3</w:t>
            </w:r>
          </w:p>
        </w:tc>
        <w:tc>
          <w:tcPr>
            <w:tcW w:w="5107"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left"/>
              <w:rPr>
                <w:rFonts w:hint="eastAsia" w:ascii="仿宋" w:hAnsi="仿宋" w:eastAsia="仿宋" w:cs="宋体"/>
                <w:kern w:val="0"/>
              </w:rPr>
            </w:pPr>
            <w:r>
              <w:rPr>
                <w:rFonts w:hint="eastAsia" w:ascii="仿宋" w:hAnsi="仿宋" w:eastAsia="仿宋" w:cs="宋体"/>
                <w:kern w:val="0"/>
              </w:rPr>
              <w:t>是否具备招标文件中规定的资格要求</w:t>
            </w:r>
          </w:p>
        </w:tc>
        <w:tc>
          <w:tcPr>
            <w:tcW w:w="1178"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55"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3"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r>
              <w:rPr>
                <w:rFonts w:hint="eastAsia" w:ascii="仿宋" w:hAnsi="仿宋" w:eastAsia="仿宋"/>
              </w:rPr>
              <w:t>4</w:t>
            </w:r>
          </w:p>
        </w:tc>
        <w:tc>
          <w:tcPr>
            <w:tcW w:w="5107"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left"/>
              <w:rPr>
                <w:rFonts w:hint="eastAsia" w:ascii="仿宋" w:hAnsi="仿宋" w:eastAsia="仿宋" w:cs="宋体"/>
                <w:kern w:val="0"/>
              </w:rPr>
            </w:pPr>
            <w:r>
              <w:rPr>
                <w:rFonts w:hint="eastAsia" w:ascii="仿宋" w:hAnsi="仿宋" w:eastAsia="仿宋" w:cs="宋体"/>
                <w:kern w:val="0"/>
              </w:rPr>
              <w:t>是否按照招标文件中规定要求签署、盖章</w:t>
            </w:r>
          </w:p>
        </w:tc>
        <w:tc>
          <w:tcPr>
            <w:tcW w:w="1178"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55"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3"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r>
              <w:rPr>
                <w:rFonts w:hint="eastAsia" w:ascii="仿宋" w:hAnsi="仿宋" w:eastAsia="仿宋"/>
              </w:rPr>
              <w:t>5</w:t>
            </w:r>
          </w:p>
        </w:tc>
        <w:tc>
          <w:tcPr>
            <w:tcW w:w="5107"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left"/>
              <w:rPr>
                <w:rFonts w:hint="eastAsia" w:ascii="仿宋" w:hAnsi="仿宋" w:eastAsia="仿宋" w:cs="宋体"/>
                <w:kern w:val="0"/>
              </w:rPr>
            </w:pPr>
            <w:r>
              <w:rPr>
                <w:rFonts w:hint="eastAsia" w:ascii="仿宋" w:hAnsi="仿宋" w:eastAsia="仿宋" w:cs="宋体"/>
                <w:kern w:val="0"/>
              </w:rPr>
              <w:t>投标文件是否经法定代表人签字或签字人已经法定代表人有效授权</w:t>
            </w:r>
          </w:p>
        </w:tc>
        <w:tc>
          <w:tcPr>
            <w:tcW w:w="1178"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55"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3"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r>
              <w:rPr>
                <w:rFonts w:hint="eastAsia" w:ascii="仿宋" w:hAnsi="仿宋" w:eastAsia="仿宋"/>
              </w:rPr>
              <w:t>6</w:t>
            </w:r>
          </w:p>
        </w:tc>
        <w:tc>
          <w:tcPr>
            <w:tcW w:w="5107"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left"/>
              <w:rPr>
                <w:rFonts w:hint="eastAsia" w:ascii="仿宋" w:hAnsi="仿宋" w:eastAsia="仿宋" w:cs="宋体"/>
                <w:kern w:val="0"/>
              </w:rPr>
            </w:pPr>
            <w:r>
              <w:rPr>
                <w:rFonts w:hint="eastAsia" w:ascii="仿宋" w:hAnsi="仿宋" w:eastAsia="仿宋" w:cs="宋体"/>
                <w:kern w:val="0"/>
              </w:rPr>
              <w:t>投标文件是否对招标文件的实质性技术与商务的条款（即标注“★”号条款）无产生负偏离</w:t>
            </w:r>
          </w:p>
        </w:tc>
        <w:tc>
          <w:tcPr>
            <w:tcW w:w="1178"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55"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2"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r>
              <w:rPr>
                <w:rFonts w:hint="eastAsia" w:ascii="仿宋" w:hAnsi="仿宋" w:eastAsia="仿宋"/>
              </w:rPr>
              <w:t>7</w:t>
            </w:r>
          </w:p>
        </w:tc>
        <w:tc>
          <w:tcPr>
            <w:tcW w:w="5107"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left"/>
              <w:rPr>
                <w:rFonts w:hint="eastAsia" w:ascii="仿宋" w:hAnsi="仿宋" w:eastAsia="仿宋" w:cs="宋体"/>
                <w:kern w:val="0"/>
              </w:rPr>
            </w:pPr>
            <w:r>
              <w:rPr>
                <w:rFonts w:hint="eastAsia" w:ascii="仿宋" w:hAnsi="仿宋" w:eastAsia="仿宋" w:cs="宋体"/>
                <w:kern w:val="0"/>
              </w:rPr>
              <w:t>是否符合招标文件中无规定的被视为无效投标的其它条款</w:t>
            </w:r>
          </w:p>
        </w:tc>
        <w:tc>
          <w:tcPr>
            <w:tcW w:w="1178"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55"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hint="eastAsia" w:ascii="仿宋" w:hAnsi="仿宋" w:eastAsia="仿宋"/>
              </w:rPr>
            </w:pPr>
            <w:r>
              <w:rPr>
                <w:rFonts w:hint="eastAsia" w:ascii="仿宋" w:hAnsi="仿宋" w:eastAsia="仿宋"/>
              </w:rPr>
              <w:t>8</w:t>
            </w:r>
          </w:p>
        </w:tc>
        <w:tc>
          <w:tcPr>
            <w:tcW w:w="5107"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left"/>
              <w:rPr>
                <w:rFonts w:hint="eastAsia" w:ascii="仿宋" w:hAnsi="仿宋" w:eastAsia="仿宋" w:cs="宋体"/>
                <w:kern w:val="0"/>
              </w:rPr>
            </w:pPr>
            <w:r>
              <w:rPr>
                <w:rFonts w:hint="eastAsia" w:ascii="仿宋" w:hAnsi="仿宋" w:eastAsia="仿宋" w:cs="宋体"/>
                <w:kern w:val="0"/>
              </w:rPr>
              <w:t>是否符合法律、法规规定的其他实质性要求</w:t>
            </w:r>
          </w:p>
        </w:tc>
        <w:tc>
          <w:tcPr>
            <w:tcW w:w="1178"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55"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5" w:hRule="atLeast"/>
          <w:jc w:val="center"/>
        </w:trPr>
        <w:tc>
          <w:tcPr>
            <w:tcW w:w="5780" w:type="dxa"/>
            <w:gridSpan w:val="2"/>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r>
              <w:rPr>
                <w:rFonts w:hint="eastAsia" w:ascii="仿宋" w:hAnsi="仿宋" w:eastAsia="仿宋"/>
              </w:rPr>
              <w:t>结论</w:t>
            </w:r>
          </w:p>
        </w:tc>
        <w:tc>
          <w:tcPr>
            <w:tcW w:w="1178"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55"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仿宋" w:hAnsi="仿宋" w:eastAsia="仿宋"/>
              </w:rPr>
            </w:pPr>
          </w:p>
        </w:tc>
      </w:tr>
    </w:tbl>
    <w:p>
      <w:pPr>
        <w:autoSpaceDE w:val="0"/>
        <w:autoSpaceDN w:val="0"/>
        <w:adjustRightInd w:val="0"/>
        <w:snapToGrid w:val="0"/>
        <w:spacing w:line="276" w:lineRule="auto"/>
        <w:ind w:right="34"/>
        <w:jc w:val="center"/>
        <w:rPr>
          <w:rFonts w:hint="eastAsia" w:ascii="仿宋" w:hAnsi="仿宋" w:eastAsia="仿宋"/>
        </w:rPr>
      </w:pPr>
      <w:r>
        <w:rPr>
          <w:rFonts w:hint="eastAsia" w:ascii="仿宋" w:hAnsi="仿宋" w:eastAsia="仿宋"/>
        </w:rPr>
        <w:t>说明：审查要求栏通过填“√”,不通过填“×”；只有全部通过了各项审查的投标人，最终结论为“通过”，否则为“不通过”。</w:t>
      </w:r>
    </w:p>
    <w:p>
      <w:pPr>
        <w:autoSpaceDE w:val="0"/>
        <w:autoSpaceDN w:val="0"/>
        <w:adjustRightInd w:val="0"/>
        <w:snapToGrid w:val="0"/>
        <w:spacing w:line="276" w:lineRule="auto"/>
        <w:ind w:right="34"/>
        <w:jc w:val="center"/>
        <w:rPr>
          <w:rFonts w:hint="eastAsia" w:ascii="仿宋" w:hAnsi="仿宋" w:eastAsia="仿宋"/>
        </w:rPr>
      </w:pPr>
    </w:p>
    <w:p>
      <w:pPr>
        <w:autoSpaceDE w:val="0"/>
        <w:autoSpaceDN w:val="0"/>
        <w:adjustRightInd w:val="0"/>
        <w:snapToGrid w:val="0"/>
        <w:spacing w:line="276" w:lineRule="auto"/>
        <w:ind w:right="34"/>
        <w:jc w:val="center"/>
        <w:rPr>
          <w:rFonts w:hint="eastAsia" w:ascii="仿宋" w:hAnsi="仿宋" w:eastAsia="仿宋"/>
        </w:rPr>
      </w:pPr>
    </w:p>
    <w:p>
      <w:pPr>
        <w:autoSpaceDE w:val="0"/>
        <w:autoSpaceDN w:val="0"/>
        <w:adjustRightInd w:val="0"/>
        <w:snapToGrid w:val="0"/>
        <w:spacing w:line="276" w:lineRule="auto"/>
        <w:ind w:right="34"/>
        <w:jc w:val="center"/>
        <w:rPr>
          <w:rFonts w:hint="eastAsia" w:ascii="仿宋" w:hAnsi="仿宋" w:eastAsia="仿宋"/>
        </w:rPr>
      </w:pPr>
    </w:p>
    <w:p>
      <w:pPr>
        <w:autoSpaceDE w:val="0"/>
        <w:autoSpaceDN w:val="0"/>
        <w:adjustRightInd w:val="0"/>
        <w:snapToGrid w:val="0"/>
        <w:spacing w:line="276" w:lineRule="auto"/>
        <w:ind w:right="34"/>
        <w:jc w:val="center"/>
        <w:rPr>
          <w:rFonts w:hint="eastAsia" w:ascii="仿宋" w:hAnsi="仿宋" w:eastAsia="仿宋"/>
        </w:rPr>
      </w:pPr>
    </w:p>
    <w:p>
      <w:pPr>
        <w:autoSpaceDE w:val="0"/>
        <w:autoSpaceDN w:val="0"/>
        <w:adjustRightInd w:val="0"/>
        <w:snapToGrid w:val="0"/>
        <w:spacing w:line="276" w:lineRule="auto"/>
        <w:ind w:right="34"/>
        <w:jc w:val="center"/>
        <w:rPr>
          <w:rFonts w:hint="eastAsia" w:ascii="仿宋" w:hAnsi="仿宋" w:eastAsia="仿宋"/>
        </w:rPr>
      </w:pPr>
    </w:p>
    <w:p>
      <w:pPr>
        <w:autoSpaceDE w:val="0"/>
        <w:autoSpaceDN w:val="0"/>
        <w:adjustRightInd w:val="0"/>
        <w:snapToGrid w:val="0"/>
        <w:spacing w:line="276" w:lineRule="auto"/>
        <w:ind w:right="34"/>
        <w:jc w:val="center"/>
        <w:rPr>
          <w:rFonts w:hint="eastAsia" w:ascii="仿宋" w:hAnsi="仿宋" w:eastAsia="仿宋"/>
        </w:rPr>
      </w:pPr>
    </w:p>
    <w:p>
      <w:pPr>
        <w:pStyle w:val="3"/>
        <w:tabs>
          <w:tab w:val="left" w:pos="2310"/>
        </w:tabs>
        <w:ind w:left="0" w:leftChars="0" w:firstLine="0" w:firstLineChars="0"/>
        <w:rPr>
          <w:rFonts w:ascii="仿宋" w:hAnsi="仿宋" w:eastAsia="仿宋"/>
          <w:sz w:val="21"/>
          <w:szCs w:val="21"/>
        </w:rPr>
      </w:pPr>
      <w:r>
        <w:rPr>
          <w:rFonts w:hint="eastAsia" w:ascii="仿宋" w:hAnsi="仿宋" w:eastAsia="仿宋"/>
          <w:sz w:val="21"/>
          <w:szCs w:val="21"/>
        </w:rPr>
        <w:t>（二）</w:t>
      </w:r>
      <w:r>
        <w:rPr>
          <w:rFonts w:hint="eastAsia" w:ascii="宋体" w:hAnsi="宋体"/>
          <w:b/>
          <w:color w:val="000000"/>
          <w:szCs w:val="21"/>
          <w:highlight w:val="none"/>
          <w:lang w:val="zh-CN"/>
        </w:rPr>
        <w:t>评分项及评分规则</w:t>
      </w:r>
      <w:r>
        <w:rPr>
          <w:rFonts w:hint="eastAsia" w:ascii="仿宋" w:hAnsi="仿宋" w:eastAsia="仿宋"/>
          <w:sz w:val="21"/>
          <w:szCs w:val="21"/>
        </w:rPr>
        <w:t>（</w:t>
      </w:r>
      <w:r>
        <w:rPr>
          <w:rFonts w:hint="eastAsia" w:ascii="仿宋" w:hAnsi="仿宋" w:eastAsia="仿宋"/>
          <w:sz w:val="21"/>
          <w:szCs w:val="21"/>
          <w:lang w:val="en-US" w:eastAsia="zh-CN"/>
        </w:rPr>
        <w:t>100</w:t>
      </w:r>
      <w:r>
        <w:rPr>
          <w:rFonts w:hint="eastAsia" w:ascii="仿宋" w:hAnsi="仿宋" w:eastAsia="仿宋"/>
          <w:sz w:val="21"/>
          <w:szCs w:val="21"/>
        </w:rPr>
        <w:t>分）：</w:t>
      </w:r>
      <w:r>
        <w:rPr>
          <w:rFonts w:ascii="仿宋" w:hAnsi="仿宋" w:eastAsia="仿宋"/>
          <w:sz w:val="21"/>
          <w:szCs w:val="21"/>
        </w:rPr>
        <w:tab/>
      </w:r>
    </w:p>
    <w:tbl>
      <w:tblPr>
        <w:tblStyle w:val="9"/>
        <w:tblW w:w="944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96"/>
        <w:gridCol w:w="1560"/>
        <w:gridCol w:w="981"/>
        <w:gridCol w:w="4713"/>
        <w:gridCol w:w="139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53" w:hRule="atLeast"/>
          <w:jc w:val="center"/>
        </w:trPr>
        <w:tc>
          <w:tcPr>
            <w:tcW w:w="8050" w:type="dxa"/>
            <w:gridSpan w:val="4"/>
            <w:vAlign w:val="center"/>
          </w:tcPr>
          <w:p>
            <w:pPr>
              <w:autoSpaceDE w:val="0"/>
              <w:autoSpaceDN w:val="0"/>
              <w:adjustRightInd w:val="0"/>
              <w:jc w:val="center"/>
              <w:rPr>
                <w:rFonts w:ascii="宋体" w:hAnsi="宋体"/>
                <w:b/>
                <w:color w:val="000000"/>
                <w:szCs w:val="21"/>
                <w:highlight w:val="none"/>
                <w:lang w:val="zh-CN"/>
              </w:rPr>
            </w:pPr>
            <w:r>
              <w:rPr>
                <w:rFonts w:hint="eastAsia" w:ascii="宋体" w:hAnsi="宋体"/>
                <w:b/>
                <w:color w:val="000000"/>
                <w:szCs w:val="21"/>
                <w:highlight w:val="none"/>
                <w:lang w:val="zh-CN"/>
              </w:rPr>
              <w:t>评分项及评分规则</w:t>
            </w:r>
          </w:p>
        </w:tc>
        <w:tc>
          <w:tcPr>
            <w:tcW w:w="1393" w:type="dxa"/>
            <w:vAlign w:val="center"/>
          </w:tcPr>
          <w:p>
            <w:pPr>
              <w:autoSpaceDE w:val="0"/>
              <w:autoSpaceDN w:val="0"/>
              <w:adjustRightInd w:val="0"/>
              <w:jc w:val="center"/>
              <w:rPr>
                <w:rFonts w:ascii="宋体" w:hAnsi="宋体"/>
                <w:b/>
                <w:color w:val="000000"/>
                <w:szCs w:val="21"/>
                <w:highlight w:val="none"/>
                <w:lang w:val="zh-CN"/>
              </w:rPr>
            </w:pPr>
            <w:r>
              <w:rPr>
                <w:rFonts w:hint="eastAsia" w:ascii="宋体" w:hAnsi="宋体"/>
                <w:b/>
                <w:color w:val="000000"/>
                <w:szCs w:val="21"/>
                <w:highlight w:val="none"/>
                <w:lang w:val="zh-CN"/>
              </w:rPr>
              <w:t>权重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8" w:hRule="atLeast"/>
          <w:jc w:val="center"/>
        </w:trPr>
        <w:tc>
          <w:tcPr>
            <w:tcW w:w="8050" w:type="dxa"/>
            <w:gridSpan w:val="4"/>
            <w:vAlign w:val="center"/>
          </w:tcPr>
          <w:p>
            <w:pPr>
              <w:autoSpaceDE w:val="0"/>
              <w:autoSpaceDN w:val="0"/>
              <w:adjustRightInd w:val="0"/>
              <w:jc w:val="center"/>
              <w:rPr>
                <w:rFonts w:ascii="宋体" w:hAnsi="宋体"/>
                <w:b/>
                <w:color w:val="000000"/>
                <w:szCs w:val="21"/>
                <w:highlight w:val="none"/>
                <w:lang w:val="zh-CN"/>
              </w:rPr>
            </w:pPr>
            <w:r>
              <w:rPr>
                <w:rFonts w:hint="eastAsia" w:ascii="宋体" w:hAnsi="宋体"/>
                <w:b/>
                <w:color w:val="000000"/>
                <w:szCs w:val="21"/>
                <w:highlight w:val="none"/>
                <w:lang w:val="zh-CN"/>
              </w:rPr>
              <w:t>一、价格部分</w:t>
            </w:r>
          </w:p>
        </w:tc>
        <w:tc>
          <w:tcPr>
            <w:tcW w:w="1393" w:type="dxa"/>
            <w:vAlign w:val="center"/>
          </w:tcPr>
          <w:p>
            <w:pPr>
              <w:autoSpaceDE w:val="0"/>
              <w:autoSpaceDN w:val="0"/>
              <w:adjustRightInd w:val="0"/>
              <w:jc w:val="center"/>
              <w:rPr>
                <w:rFonts w:ascii="宋体" w:hAnsi="宋体"/>
                <w:color w:val="000000"/>
                <w:szCs w:val="21"/>
                <w:highlight w:val="none"/>
              </w:rPr>
            </w:pPr>
            <w:r>
              <w:rPr>
                <w:rFonts w:hint="eastAsia" w:ascii="宋体" w:hAnsi="宋体"/>
                <w:color w:val="000000"/>
                <w:szCs w:val="21"/>
                <w:highlight w:val="none"/>
              </w:rPr>
              <w:t>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8" w:hRule="atLeast"/>
          <w:jc w:val="center"/>
        </w:trPr>
        <w:tc>
          <w:tcPr>
            <w:tcW w:w="8050" w:type="dxa"/>
            <w:gridSpan w:val="4"/>
            <w:vAlign w:val="center"/>
          </w:tcPr>
          <w:p>
            <w:pPr>
              <w:pStyle w:val="4"/>
              <w:spacing w:line="360" w:lineRule="auto"/>
              <w:rPr>
                <w:rFonts w:hint="eastAsia" w:ascii="宋体" w:hAnsi="宋体"/>
                <w:b/>
                <w:color w:val="000000"/>
                <w:szCs w:val="21"/>
                <w:highlight w:val="none"/>
                <w:lang w:val="zh-CN"/>
              </w:rPr>
            </w:pPr>
            <w:r>
              <w:rPr>
                <w:rFonts w:hint="eastAsia" w:hAnsi="宋体"/>
                <w:color w:val="000000"/>
                <w:sz w:val="22"/>
                <w:szCs w:val="24"/>
              </w:rPr>
              <w:t>本项目价格分=（评标基准价/投标报价）×</w:t>
            </w:r>
            <w:r>
              <w:rPr>
                <w:rFonts w:hint="eastAsia" w:hAnsi="宋体"/>
                <w:color w:val="000000"/>
                <w:sz w:val="22"/>
                <w:szCs w:val="24"/>
                <w:lang w:val="en-US" w:eastAsia="zh-CN"/>
              </w:rPr>
              <w:t>2</w:t>
            </w:r>
            <w:r>
              <w:rPr>
                <w:rFonts w:hint="eastAsia" w:hAnsi="宋体"/>
                <w:color w:val="000000"/>
                <w:sz w:val="22"/>
                <w:szCs w:val="24"/>
              </w:rPr>
              <w:t>0</w:t>
            </w:r>
          </w:p>
        </w:tc>
        <w:tc>
          <w:tcPr>
            <w:tcW w:w="1393" w:type="dxa"/>
            <w:vAlign w:val="center"/>
          </w:tcPr>
          <w:p>
            <w:pPr>
              <w:autoSpaceDE w:val="0"/>
              <w:autoSpaceDN w:val="0"/>
              <w:adjustRightInd w:val="0"/>
              <w:jc w:val="center"/>
              <w:rPr>
                <w:rFonts w:hint="eastAsia" w:ascii="宋体" w:hAnsi="宋体"/>
                <w:color w:val="000000"/>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59" w:hRule="atLeast"/>
          <w:jc w:val="center"/>
        </w:trPr>
        <w:tc>
          <w:tcPr>
            <w:tcW w:w="8050" w:type="dxa"/>
            <w:gridSpan w:val="4"/>
            <w:vAlign w:val="center"/>
          </w:tcPr>
          <w:p>
            <w:pPr>
              <w:autoSpaceDE w:val="0"/>
              <w:autoSpaceDN w:val="0"/>
              <w:adjustRightInd w:val="0"/>
              <w:jc w:val="center"/>
              <w:rPr>
                <w:rFonts w:ascii="宋体" w:hAnsi="宋体"/>
                <w:b/>
                <w:color w:val="000000"/>
                <w:szCs w:val="21"/>
                <w:highlight w:val="none"/>
                <w:lang w:val="zh-CN"/>
              </w:rPr>
            </w:pPr>
            <w:r>
              <w:rPr>
                <w:rFonts w:hint="eastAsia" w:ascii="宋体" w:hAnsi="宋体"/>
                <w:b/>
                <w:color w:val="000000"/>
                <w:szCs w:val="21"/>
                <w:highlight w:val="none"/>
                <w:lang w:val="zh-CN"/>
              </w:rPr>
              <w:t>二、技术部分</w:t>
            </w:r>
          </w:p>
        </w:tc>
        <w:tc>
          <w:tcPr>
            <w:tcW w:w="1393" w:type="dxa"/>
            <w:vAlign w:val="center"/>
          </w:tcPr>
          <w:p>
            <w:pPr>
              <w:autoSpaceDE w:val="0"/>
              <w:autoSpaceDN w:val="0"/>
              <w:adjustRightInd w:val="0"/>
              <w:jc w:val="center"/>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65" w:hRule="atLeast"/>
          <w:jc w:val="center"/>
        </w:trPr>
        <w:tc>
          <w:tcPr>
            <w:tcW w:w="796" w:type="dxa"/>
            <w:vAlign w:val="center"/>
          </w:tcPr>
          <w:p>
            <w:pPr>
              <w:autoSpaceDE w:val="0"/>
              <w:autoSpaceDN w:val="0"/>
              <w:adjustRightInd w:val="0"/>
              <w:jc w:val="center"/>
              <w:rPr>
                <w:rFonts w:ascii="宋体" w:hAnsi="宋体"/>
                <w:color w:val="000000"/>
                <w:szCs w:val="21"/>
                <w:highlight w:val="none"/>
              </w:rPr>
            </w:pPr>
            <w:r>
              <w:rPr>
                <w:rFonts w:hint="eastAsia" w:ascii="宋体" w:hAnsi="宋体"/>
                <w:color w:val="000000"/>
                <w:szCs w:val="21"/>
                <w:highlight w:val="none"/>
                <w:lang w:val="zh-CN"/>
              </w:rPr>
              <w:t>序号</w:t>
            </w:r>
          </w:p>
        </w:tc>
        <w:tc>
          <w:tcPr>
            <w:tcW w:w="1560" w:type="dxa"/>
            <w:vAlign w:val="center"/>
          </w:tcPr>
          <w:p>
            <w:pPr>
              <w:autoSpaceDE w:val="0"/>
              <w:autoSpaceDN w:val="0"/>
              <w:adjustRightInd w:val="0"/>
              <w:jc w:val="center"/>
              <w:rPr>
                <w:rFonts w:ascii="宋体" w:hAnsi="宋体"/>
                <w:color w:val="000000"/>
                <w:szCs w:val="21"/>
                <w:highlight w:val="none"/>
              </w:rPr>
            </w:pPr>
            <w:r>
              <w:rPr>
                <w:rFonts w:hint="eastAsia" w:ascii="宋体" w:hAnsi="宋体"/>
                <w:color w:val="000000"/>
                <w:szCs w:val="21"/>
                <w:highlight w:val="none"/>
                <w:lang w:val="zh-CN"/>
              </w:rPr>
              <w:t>内容</w:t>
            </w:r>
          </w:p>
        </w:tc>
        <w:tc>
          <w:tcPr>
            <w:tcW w:w="981" w:type="dxa"/>
            <w:vAlign w:val="center"/>
          </w:tcPr>
          <w:p>
            <w:pPr>
              <w:autoSpaceDE w:val="0"/>
              <w:autoSpaceDN w:val="0"/>
              <w:adjustRightInd w:val="0"/>
              <w:jc w:val="center"/>
              <w:rPr>
                <w:rFonts w:ascii="宋体" w:hAnsi="宋体"/>
                <w:color w:val="000000"/>
                <w:szCs w:val="21"/>
                <w:highlight w:val="none"/>
              </w:rPr>
            </w:pPr>
            <w:r>
              <w:rPr>
                <w:rFonts w:hint="eastAsia" w:ascii="宋体" w:hAnsi="宋体"/>
                <w:color w:val="000000"/>
                <w:szCs w:val="21"/>
                <w:highlight w:val="none"/>
                <w:lang w:val="zh-CN"/>
              </w:rPr>
              <w:t>权重</w:t>
            </w:r>
          </w:p>
        </w:tc>
        <w:tc>
          <w:tcPr>
            <w:tcW w:w="4713" w:type="dxa"/>
            <w:vAlign w:val="center"/>
          </w:tcPr>
          <w:p>
            <w:pPr>
              <w:autoSpaceDE w:val="0"/>
              <w:autoSpaceDN w:val="0"/>
              <w:adjustRightInd w:val="0"/>
              <w:jc w:val="center"/>
              <w:rPr>
                <w:rFonts w:ascii="宋体" w:hAnsi="宋体"/>
                <w:color w:val="000000"/>
                <w:szCs w:val="21"/>
                <w:highlight w:val="none"/>
                <w:lang w:val="zh-CN"/>
              </w:rPr>
            </w:pPr>
            <w:r>
              <w:rPr>
                <w:rFonts w:hint="eastAsia" w:ascii="宋体" w:hAnsi="宋体"/>
                <w:color w:val="000000"/>
                <w:szCs w:val="21"/>
                <w:highlight w:val="none"/>
                <w:lang w:val="zh-CN"/>
              </w:rPr>
              <w:t>评分规则</w:t>
            </w:r>
          </w:p>
        </w:tc>
        <w:tc>
          <w:tcPr>
            <w:tcW w:w="1393" w:type="dxa"/>
            <w:vAlign w:val="center"/>
          </w:tcPr>
          <w:p>
            <w:pPr>
              <w:autoSpaceDE w:val="0"/>
              <w:autoSpaceDN w:val="0"/>
              <w:adjustRightInd w:val="0"/>
              <w:jc w:val="center"/>
              <w:rPr>
                <w:rFonts w:ascii="宋体" w:hAnsi="宋体"/>
                <w:color w:val="000000"/>
                <w:szCs w:val="21"/>
                <w:highlight w:val="none"/>
                <w:lang w:val="zh-CN"/>
              </w:rPr>
            </w:pPr>
            <w:r>
              <w:rPr>
                <w:rFonts w:hint="eastAsia" w:ascii="宋体" w:hAnsi="宋体"/>
                <w:color w:val="000000"/>
                <w:szCs w:val="21"/>
                <w:highlight w:val="none"/>
                <w:lang w:val="zh-CN"/>
              </w:rPr>
              <w:t>评分方式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893" w:hRule="atLeast"/>
          <w:jc w:val="center"/>
        </w:trPr>
        <w:tc>
          <w:tcPr>
            <w:tcW w:w="796" w:type="dxa"/>
            <w:vAlign w:val="center"/>
          </w:tcPr>
          <w:p>
            <w:pPr>
              <w:autoSpaceDE w:val="0"/>
              <w:autoSpaceDN w:val="0"/>
              <w:adjustRightInd w:val="0"/>
              <w:jc w:val="center"/>
              <w:rPr>
                <w:rFonts w:hint="eastAsia" w:ascii="宋体" w:hAnsi="宋体" w:eastAsia="宋体"/>
                <w:color w:val="000000"/>
                <w:szCs w:val="21"/>
                <w:highlight w:val="none"/>
                <w:lang w:val="zh-CN" w:eastAsia="zh-CN"/>
              </w:rPr>
            </w:pPr>
            <w:r>
              <w:rPr>
                <w:rFonts w:hint="eastAsia" w:ascii="宋体" w:hAnsi="宋体"/>
                <w:color w:val="000000"/>
                <w:szCs w:val="21"/>
                <w:highlight w:val="none"/>
                <w:lang w:val="en-US" w:eastAsia="zh-CN"/>
              </w:rPr>
              <w:t>1</w:t>
            </w:r>
          </w:p>
        </w:tc>
        <w:tc>
          <w:tcPr>
            <w:tcW w:w="1560" w:type="dxa"/>
            <w:vAlign w:val="center"/>
          </w:tcPr>
          <w:p>
            <w:pPr>
              <w:spacing w:line="360" w:lineRule="exact"/>
              <w:jc w:val="center"/>
              <w:rPr>
                <w:rFonts w:ascii="宋体" w:hAnsi="宋体"/>
                <w:color w:val="000000"/>
                <w:szCs w:val="21"/>
                <w:highlight w:val="none"/>
              </w:rPr>
            </w:pPr>
            <w:r>
              <w:rPr>
                <w:rFonts w:hint="eastAsia"/>
                <w:color w:val="000000"/>
                <w:highlight w:val="none"/>
              </w:rPr>
              <w:t>病案</w:t>
            </w:r>
            <w:r>
              <w:rPr>
                <w:rFonts w:hint="eastAsia"/>
                <w:color w:val="000000"/>
                <w:highlight w:val="none"/>
                <w:lang w:eastAsia="zh-CN"/>
              </w:rPr>
              <w:t>数字化</w:t>
            </w:r>
            <w:r>
              <w:rPr>
                <w:rFonts w:hint="eastAsia"/>
                <w:color w:val="000000"/>
                <w:highlight w:val="none"/>
              </w:rPr>
              <w:t>方案</w:t>
            </w:r>
          </w:p>
        </w:tc>
        <w:tc>
          <w:tcPr>
            <w:tcW w:w="981" w:type="dxa"/>
            <w:vAlign w:val="center"/>
          </w:tcPr>
          <w:p>
            <w:pPr>
              <w:spacing w:line="360" w:lineRule="exact"/>
              <w:jc w:val="center"/>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20分</w:t>
            </w:r>
          </w:p>
        </w:tc>
        <w:tc>
          <w:tcPr>
            <w:tcW w:w="4713" w:type="dxa"/>
            <w:vAlign w:val="center"/>
          </w:tcPr>
          <w:p>
            <w:pPr>
              <w:numPr>
                <w:ilvl w:val="0"/>
                <w:numId w:val="1"/>
              </w:numPr>
              <w:spacing w:after="78" w:afterLines="25" w:line="300" w:lineRule="auto"/>
              <w:jc w:val="left"/>
              <w:rPr>
                <w:rFonts w:ascii="宋体" w:hAnsi="宋体" w:cs="宋体"/>
                <w:color w:val="000000"/>
                <w:sz w:val="21"/>
                <w:szCs w:val="21"/>
                <w:highlight w:val="none"/>
              </w:rPr>
            </w:pPr>
            <w:r>
              <w:rPr>
                <w:rFonts w:hint="eastAsia" w:ascii="宋体" w:hAnsi="宋体" w:cs="宋体"/>
                <w:color w:val="000000"/>
                <w:sz w:val="21"/>
                <w:szCs w:val="21"/>
                <w:highlight w:val="none"/>
                <w:lang w:eastAsia="zh-CN"/>
              </w:rPr>
              <w:t>采用扫描辅以翻拍的方式实现，提供</w:t>
            </w:r>
            <w:r>
              <w:rPr>
                <w:rFonts w:hint="eastAsia" w:ascii="宋体" w:hAnsi="宋体" w:cs="宋体"/>
                <w:color w:val="000000"/>
                <w:sz w:val="21"/>
                <w:szCs w:val="21"/>
                <w:highlight w:val="none"/>
                <w:lang w:val="en-US" w:eastAsia="zh-CN"/>
              </w:rPr>
              <w:t>2份2014年以来的广东省内三甲医院病案数字化的合同复印件加盖公章（合同名称里需出现“病案（或病历）”及“扫描”字样）得5分。</w:t>
            </w:r>
          </w:p>
          <w:p>
            <w:pPr>
              <w:numPr>
                <w:ilvl w:val="0"/>
                <w:numId w:val="1"/>
              </w:numPr>
              <w:spacing w:after="78" w:afterLines="25" w:line="300" w:lineRule="auto"/>
              <w:jc w:val="left"/>
              <w:rPr>
                <w:rFonts w:ascii="宋体" w:hAnsi="宋体" w:cs="宋体"/>
                <w:color w:val="000000"/>
                <w:sz w:val="21"/>
                <w:szCs w:val="21"/>
                <w:highlight w:val="none"/>
              </w:rPr>
            </w:pPr>
            <w:r>
              <w:rPr>
                <w:rFonts w:hint="eastAsia" w:ascii="宋体" w:hAnsi="宋体"/>
                <w:color w:val="000000"/>
                <w:sz w:val="21"/>
                <w:szCs w:val="21"/>
                <w:lang w:val="en-US" w:eastAsia="zh-CN"/>
              </w:rPr>
              <w:t>提供软件与医院现有应用系统的接口，如广东省病案管理系统、医院现有的电子病历或HIS系统，保证系统间准确衔接，实现数据共享。其中与广东省病案管理系统的接口由中标方负责；其它系统的接口中标方需提供接口以供其它系统调用，其它系统的修改由医院负责。</w:t>
            </w:r>
            <w:r>
              <w:rPr>
                <w:rFonts w:hint="eastAsia" w:ascii="宋体" w:hAnsi="宋体"/>
                <w:b w:val="0"/>
                <w:bCs w:val="0"/>
                <w:color w:val="auto"/>
                <w:sz w:val="21"/>
                <w:szCs w:val="21"/>
                <w:highlight w:val="none"/>
                <w:lang w:val="en-US" w:eastAsia="zh-CN"/>
              </w:rPr>
              <w:t>能提供不少于2家广东省内医院（其中1家为三级甲等医院或三级甲等中医院）提供的证明材料及病案数字化合同加盖公章，原件备查得4分，不提供不得分。</w:t>
            </w:r>
            <w:r>
              <w:rPr>
                <w:rFonts w:hint="eastAsia" w:ascii="宋体" w:hAnsi="宋体"/>
                <w:b w:val="0"/>
                <w:bCs w:val="0"/>
                <w:color w:val="00B0F0"/>
                <w:sz w:val="21"/>
                <w:szCs w:val="21"/>
                <w:highlight w:val="none"/>
                <w:lang w:val="en-US" w:eastAsia="zh-CN"/>
              </w:rPr>
              <w:t xml:space="preserve"> </w:t>
            </w:r>
          </w:p>
          <w:p>
            <w:pPr>
              <w:numPr>
                <w:ilvl w:val="0"/>
                <w:numId w:val="1"/>
              </w:numPr>
              <w:spacing w:after="78" w:afterLines="25" w:line="300" w:lineRule="auto"/>
              <w:jc w:val="left"/>
              <w:rPr>
                <w:rFonts w:ascii="宋体" w:hAnsi="宋体" w:cs="宋体"/>
                <w:color w:val="000000"/>
                <w:sz w:val="21"/>
                <w:szCs w:val="21"/>
                <w:highlight w:val="none"/>
              </w:rPr>
            </w:pPr>
            <w:r>
              <w:rPr>
                <w:rFonts w:hint="eastAsia" w:ascii="宋体" w:hAnsi="宋体" w:cs="宋体"/>
                <w:color w:val="000000"/>
                <w:sz w:val="21"/>
                <w:szCs w:val="21"/>
                <w:highlight w:val="none"/>
                <w:lang w:val="en-US" w:eastAsia="zh-CN"/>
              </w:rPr>
              <w:t>提供</w:t>
            </w:r>
            <w:r>
              <w:rPr>
                <w:rFonts w:hint="eastAsia" w:ascii="宋体" w:hAnsi="宋体"/>
                <w:color w:val="000000"/>
                <w:sz w:val="21"/>
                <w:szCs w:val="21"/>
                <w:highlight w:val="none"/>
                <w:lang w:val="en-US" w:eastAsia="zh-CN"/>
              </w:rPr>
              <w:t>2018年9月1日前</w:t>
            </w:r>
            <w:r>
              <w:rPr>
                <w:rFonts w:hint="eastAsia" w:ascii="宋体" w:hAnsi="宋体" w:cs="宋体"/>
                <w:color w:val="000000"/>
                <w:sz w:val="21"/>
                <w:szCs w:val="21"/>
                <w:highlight w:val="none"/>
                <w:lang w:val="en-US" w:eastAsia="zh-CN"/>
              </w:rPr>
              <w:t>不少于25台扫描仪的采购发票复印件加盖公章得2分。需提供发票原件备查，不提供不得分。</w:t>
            </w:r>
          </w:p>
          <w:p>
            <w:pPr>
              <w:numPr>
                <w:ilvl w:val="0"/>
                <w:numId w:val="1"/>
              </w:numPr>
              <w:spacing w:after="78" w:afterLines="25" w:line="300" w:lineRule="auto"/>
              <w:jc w:val="left"/>
              <w:rPr>
                <w:rFonts w:ascii="宋体" w:hAnsi="宋体" w:cs="宋体"/>
                <w:color w:val="000000"/>
                <w:sz w:val="21"/>
                <w:szCs w:val="21"/>
                <w:highlight w:val="none"/>
              </w:rPr>
            </w:pPr>
            <w:r>
              <w:rPr>
                <w:rFonts w:hint="eastAsia" w:ascii="宋体" w:hAnsi="宋体"/>
                <w:color w:val="000000"/>
                <w:sz w:val="21"/>
                <w:szCs w:val="21"/>
                <w:highlight w:val="none"/>
                <w:lang w:val="zh-CN"/>
              </w:rPr>
              <w:t>提供</w:t>
            </w:r>
            <w:r>
              <w:rPr>
                <w:rFonts w:hint="eastAsia" w:ascii="宋体" w:hAnsi="宋体"/>
                <w:color w:val="000000"/>
                <w:sz w:val="21"/>
                <w:szCs w:val="21"/>
                <w:highlight w:val="none"/>
                <w:lang w:val="en-US" w:eastAsia="zh-CN"/>
              </w:rPr>
              <w:t>2018年9月1日前</w:t>
            </w:r>
            <w:r>
              <w:rPr>
                <w:rFonts w:hint="eastAsia" w:ascii="宋体" w:hAnsi="宋体"/>
                <w:color w:val="000000"/>
                <w:sz w:val="21"/>
                <w:szCs w:val="21"/>
                <w:highlight w:val="none"/>
                <w:lang w:val="zh-CN"/>
              </w:rPr>
              <w:t>不少于25台电脑采购发票得</w:t>
            </w:r>
            <w:r>
              <w:rPr>
                <w:rFonts w:hint="eastAsia" w:ascii="宋体" w:hAnsi="宋体"/>
                <w:b/>
                <w:bCs/>
                <w:color w:val="000000"/>
                <w:sz w:val="21"/>
                <w:szCs w:val="21"/>
                <w:highlight w:val="none"/>
                <w:lang w:val="en-US" w:eastAsia="zh-CN"/>
              </w:rPr>
              <w:t>1分</w:t>
            </w:r>
            <w:r>
              <w:rPr>
                <w:rFonts w:hint="eastAsia" w:ascii="宋体" w:hAnsi="宋体"/>
                <w:color w:val="000000"/>
                <w:sz w:val="21"/>
                <w:szCs w:val="21"/>
                <w:highlight w:val="none"/>
                <w:lang w:val="zh-CN"/>
              </w:rPr>
              <w:t>，需提供发票复印件加盖公章，原件备查，不提供不得分。</w:t>
            </w:r>
          </w:p>
          <w:p>
            <w:pPr>
              <w:spacing w:line="276" w:lineRule="auto"/>
              <w:jc w:val="left"/>
              <w:rPr>
                <w:rFonts w:hint="eastAsia" w:ascii="宋体" w:hAnsi="宋体"/>
                <w:color w:val="000000"/>
                <w:sz w:val="21"/>
                <w:szCs w:val="21"/>
                <w:highlight w:val="none"/>
                <w:lang w:val="zh-CN"/>
              </w:rPr>
            </w:pPr>
            <w:r>
              <w:rPr>
                <w:rFonts w:hint="eastAsia" w:ascii="宋体" w:hAnsi="宋体"/>
                <w:color w:val="000000"/>
                <w:sz w:val="21"/>
                <w:szCs w:val="21"/>
                <w:highlight w:val="none"/>
                <w:lang w:val="en-US" w:eastAsia="zh-CN"/>
              </w:rPr>
              <w:t>3、</w:t>
            </w:r>
            <w:r>
              <w:rPr>
                <w:rFonts w:hint="eastAsia" w:ascii="宋体" w:hAnsi="宋体"/>
                <w:color w:val="000000"/>
                <w:sz w:val="21"/>
                <w:szCs w:val="21"/>
                <w:highlight w:val="none"/>
                <w:lang w:val="zh-CN"/>
              </w:rPr>
              <w:t>提供2018年</w:t>
            </w:r>
            <w:r>
              <w:rPr>
                <w:rFonts w:hint="eastAsia" w:ascii="宋体" w:hAnsi="宋体"/>
                <w:color w:val="000000"/>
                <w:sz w:val="21"/>
                <w:szCs w:val="21"/>
                <w:highlight w:val="none"/>
                <w:lang w:val="en-US" w:eastAsia="zh-CN"/>
              </w:rPr>
              <w:t>9</w:t>
            </w:r>
            <w:r>
              <w:rPr>
                <w:rFonts w:hint="eastAsia" w:ascii="宋体" w:hAnsi="宋体"/>
                <w:color w:val="000000"/>
                <w:sz w:val="21"/>
                <w:szCs w:val="21"/>
                <w:highlight w:val="none"/>
                <w:lang w:val="zh-CN"/>
              </w:rPr>
              <w:t>月</w:t>
            </w:r>
            <w:r>
              <w:rPr>
                <w:rFonts w:hint="eastAsia" w:ascii="宋体" w:hAnsi="宋体"/>
                <w:color w:val="000000"/>
                <w:sz w:val="21"/>
                <w:szCs w:val="21"/>
                <w:highlight w:val="none"/>
                <w:lang w:val="en-US" w:eastAsia="zh-CN"/>
              </w:rPr>
              <w:t>1</w:t>
            </w:r>
            <w:r>
              <w:rPr>
                <w:rFonts w:hint="eastAsia" w:ascii="宋体" w:hAnsi="宋体"/>
                <w:color w:val="000000"/>
                <w:sz w:val="21"/>
                <w:szCs w:val="21"/>
                <w:highlight w:val="none"/>
                <w:lang w:val="zh-CN"/>
              </w:rPr>
              <w:t>日前不少于25台高拍仪采购发票得</w:t>
            </w:r>
            <w:r>
              <w:rPr>
                <w:rFonts w:hint="eastAsia" w:ascii="宋体" w:hAnsi="宋体"/>
                <w:b/>
                <w:bCs/>
                <w:color w:val="000000"/>
                <w:sz w:val="21"/>
                <w:szCs w:val="21"/>
                <w:highlight w:val="none"/>
                <w:lang w:val="en-US" w:eastAsia="zh-CN"/>
              </w:rPr>
              <w:t>2分</w:t>
            </w:r>
            <w:r>
              <w:rPr>
                <w:rFonts w:hint="eastAsia" w:ascii="宋体" w:hAnsi="宋体"/>
                <w:color w:val="000000"/>
                <w:sz w:val="21"/>
                <w:szCs w:val="21"/>
                <w:highlight w:val="none"/>
                <w:lang w:val="zh-CN"/>
              </w:rPr>
              <w:t>，需提供发票复印件加盖公章，原件备查，不提供不得分。</w:t>
            </w:r>
          </w:p>
          <w:p>
            <w:pPr>
              <w:spacing w:line="276" w:lineRule="auto"/>
              <w:jc w:val="left"/>
              <w:rPr>
                <w:rFonts w:hint="eastAsia" w:ascii="宋体" w:hAnsi="宋体"/>
                <w:color w:val="000000"/>
                <w:sz w:val="21"/>
                <w:szCs w:val="21"/>
                <w:highlight w:val="none"/>
                <w:lang w:val="zh-CN"/>
              </w:rPr>
            </w:pPr>
            <w:r>
              <w:rPr>
                <w:rFonts w:hint="eastAsia" w:ascii="宋体" w:hAnsi="宋体"/>
                <w:color w:val="000000"/>
                <w:sz w:val="21"/>
                <w:szCs w:val="21"/>
                <w:highlight w:val="none"/>
                <w:lang w:val="en-US" w:eastAsia="zh-CN"/>
              </w:rPr>
              <w:t>4、</w:t>
            </w:r>
            <w:r>
              <w:rPr>
                <w:rFonts w:hint="eastAsia" w:ascii="宋体" w:hAnsi="宋体"/>
                <w:color w:val="000000"/>
                <w:sz w:val="21"/>
                <w:szCs w:val="21"/>
                <w:highlight w:val="none"/>
                <w:lang w:val="zh-CN"/>
              </w:rPr>
              <w:t>提供2018年</w:t>
            </w:r>
            <w:r>
              <w:rPr>
                <w:rFonts w:hint="eastAsia" w:ascii="宋体" w:hAnsi="宋体"/>
                <w:color w:val="000000"/>
                <w:sz w:val="21"/>
                <w:szCs w:val="21"/>
                <w:highlight w:val="none"/>
                <w:lang w:val="en-US" w:eastAsia="zh-CN"/>
              </w:rPr>
              <w:t>9月1日</w:t>
            </w:r>
            <w:r>
              <w:rPr>
                <w:rFonts w:hint="eastAsia" w:ascii="宋体" w:hAnsi="宋体"/>
                <w:color w:val="000000"/>
                <w:sz w:val="21"/>
                <w:szCs w:val="21"/>
                <w:highlight w:val="none"/>
                <w:lang w:val="zh-CN"/>
              </w:rPr>
              <w:t>前不少于25台电动订书机采购发票得</w:t>
            </w:r>
            <w:r>
              <w:rPr>
                <w:rFonts w:hint="eastAsia" w:ascii="宋体" w:hAnsi="宋体"/>
                <w:b/>
                <w:bCs/>
                <w:color w:val="000000"/>
                <w:sz w:val="21"/>
                <w:szCs w:val="21"/>
                <w:highlight w:val="none"/>
                <w:lang w:val="en-US" w:eastAsia="zh-CN"/>
              </w:rPr>
              <w:t>2分</w:t>
            </w:r>
            <w:r>
              <w:rPr>
                <w:rFonts w:hint="eastAsia" w:ascii="宋体" w:hAnsi="宋体"/>
                <w:color w:val="000000"/>
                <w:sz w:val="21"/>
                <w:szCs w:val="21"/>
                <w:highlight w:val="none"/>
                <w:lang w:val="zh-CN"/>
              </w:rPr>
              <w:t>，需提供发票复印件加盖公章，原件备查，不提供不得分。</w:t>
            </w:r>
          </w:p>
          <w:p>
            <w:pPr>
              <w:numPr>
                <w:ilvl w:val="0"/>
                <w:numId w:val="0"/>
              </w:numPr>
              <w:spacing w:after="78" w:afterLines="25" w:line="300" w:lineRule="auto"/>
              <w:jc w:val="left"/>
              <w:rPr>
                <w:rFonts w:hint="eastAsia" w:ascii="宋体" w:hAnsi="宋体"/>
                <w:color w:val="000000"/>
                <w:sz w:val="21"/>
                <w:szCs w:val="21"/>
                <w:highlight w:val="none"/>
                <w:lang w:val="zh-CN"/>
              </w:rPr>
            </w:pPr>
            <w:r>
              <w:rPr>
                <w:rFonts w:hint="eastAsia" w:ascii="宋体" w:hAnsi="宋体" w:cs="宋体"/>
                <w:color w:val="000000"/>
                <w:sz w:val="21"/>
                <w:szCs w:val="21"/>
                <w:highlight w:val="none"/>
                <w:lang w:val="en-US" w:eastAsia="zh-CN"/>
              </w:rPr>
              <w:t>5、</w:t>
            </w:r>
            <w:r>
              <w:rPr>
                <w:rFonts w:hint="eastAsia" w:ascii="宋体" w:hAnsi="宋体"/>
                <w:color w:val="000000"/>
                <w:sz w:val="21"/>
                <w:szCs w:val="21"/>
                <w:highlight w:val="none"/>
                <w:lang w:val="zh-CN"/>
              </w:rPr>
              <w:t>提供2018年</w:t>
            </w:r>
            <w:r>
              <w:rPr>
                <w:rFonts w:hint="eastAsia" w:ascii="宋体" w:hAnsi="宋体"/>
                <w:color w:val="000000"/>
                <w:sz w:val="21"/>
                <w:szCs w:val="21"/>
                <w:highlight w:val="none"/>
                <w:lang w:val="en-US" w:eastAsia="zh-CN"/>
              </w:rPr>
              <w:t>9月1日</w:t>
            </w:r>
            <w:r>
              <w:rPr>
                <w:rFonts w:hint="eastAsia" w:ascii="宋体" w:hAnsi="宋体"/>
                <w:color w:val="000000"/>
                <w:sz w:val="21"/>
                <w:szCs w:val="21"/>
                <w:highlight w:val="none"/>
                <w:lang w:val="zh-CN"/>
              </w:rPr>
              <w:t>前不少于3000个真空包装袋采购发票得</w:t>
            </w:r>
            <w:r>
              <w:rPr>
                <w:rFonts w:hint="eastAsia" w:ascii="宋体" w:hAnsi="宋体"/>
                <w:b/>
                <w:bCs/>
                <w:color w:val="000000"/>
                <w:sz w:val="21"/>
                <w:szCs w:val="21"/>
                <w:highlight w:val="none"/>
                <w:lang w:val="en-US" w:eastAsia="zh-CN"/>
              </w:rPr>
              <w:t>2分</w:t>
            </w:r>
            <w:r>
              <w:rPr>
                <w:rFonts w:hint="eastAsia" w:ascii="宋体" w:hAnsi="宋体"/>
                <w:color w:val="000000"/>
                <w:sz w:val="21"/>
                <w:szCs w:val="21"/>
                <w:highlight w:val="none"/>
                <w:lang w:val="zh-CN"/>
              </w:rPr>
              <w:t>，需提供发票复印件加盖公章，原件备查，不提供不得分。</w:t>
            </w:r>
          </w:p>
          <w:p>
            <w:pPr>
              <w:numPr>
                <w:ilvl w:val="0"/>
                <w:numId w:val="0"/>
              </w:numPr>
              <w:spacing w:after="78" w:afterLines="25" w:line="300" w:lineRule="auto"/>
              <w:jc w:val="left"/>
              <w:rPr>
                <w:rFonts w:hint="eastAsia" w:ascii="宋体" w:hAnsi="宋体" w:eastAsia="宋体"/>
                <w:color w:val="000000"/>
                <w:sz w:val="21"/>
                <w:szCs w:val="21"/>
                <w:highlight w:val="none"/>
                <w:lang w:val="en-US" w:eastAsia="zh-CN"/>
              </w:rPr>
            </w:pPr>
            <w:r>
              <w:rPr>
                <w:rFonts w:hint="eastAsia" w:ascii="宋体" w:hAnsi="宋体"/>
                <w:color w:val="000000"/>
                <w:sz w:val="21"/>
                <w:szCs w:val="21"/>
                <w:highlight w:val="none"/>
                <w:lang w:val="en-US" w:eastAsia="zh-CN"/>
              </w:rPr>
              <w:t>6、</w:t>
            </w:r>
            <w:r>
              <w:rPr>
                <w:rFonts w:hint="eastAsia" w:ascii="宋体" w:hAnsi="宋体"/>
                <w:color w:val="000000"/>
                <w:sz w:val="21"/>
                <w:szCs w:val="21"/>
                <w:highlight w:val="none"/>
                <w:lang w:val="zh-CN"/>
              </w:rPr>
              <w:t>提供2018年</w:t>
            </w:r>
            <w:r>
              <w:rPr>
                <w:rFonts w:hint="eastAsia" w:ascii="宋体" w:hAnsi="宋体"/>
                <w:color w:val="000000"/>
                <w:sz w:val="21"/>
                <w:szCs w:val="21"/>
                <w:highlight w:val="none"/>
                <w:lang w:val="en-US" w:eastAsia="zh-CN"/>
              </w:rPr>
              <w:t>9月1日</w:t>
            </w:r>
            <w:r>
              <w:rPr>
                <w:rFonts w:hint="eastAsia" w:ascii="宋体" w:hAnsi="宋体"/>
                <w:color w:val="000000"/>
                <w:sz w:val="21"/>
                <w:szCs w:val="21"/>
                <w:highlight w:val="none"/>
                <w:lang w:val="zh-CN"/>
              </w:rPr>
              <w:t>前不少于15台手持PAD采购发票得</w:t>
            </w:r>
            <w:r>
              <w:rPr>
                <w:rFonts w:hint="eastAsia" w:ascii="宋体" w:hAnsi="宋体"/>
                <w:b/>
                <w:bCs/>
                <w:color w:val="000000"/>
                <w:sz w:val="21"/>
                <w:szCs w:val="21"/>
                <w:highlight w:val="none"/>
                <w:lang w:val="en-US" w:eastAsia="zh-CN"/>
              </w:rPr>
              <w:t>2分</w:t>
            </w:r>
            <w:r>
              <w:rPr>
                <w:rFonts w:hint="eastAsia" w:ascii="宋体" w:hAnsi="宋体"/>
                <w:color w:val="000000"/>
                <w:sz w:val="21"/>
                <w:szCs w:val="21"/>
                <w:highlight w:val="none"/>
                <w:lang w:val="zh-CN"/>
              </w:rPr>
              <w:t>，需提供发票复印件加盖公章，原件备查，不提供不得分。</w:t>
            </w:r>
          </w:p>
        </w:tc>
        <w:tc>
          <w:tcPr>
            <w:tcW w:w="1393" w:type="dxa"/>
            <w:vAlign w:val="center"/>
          </w:tcPr>
          <w:p>
            <w:pPr>
              <w:autoSpaceDE w:val="0"/>
              <w:autoSpaceDN w:val="0"/>
              <w:adjustRightInd w:val="0"/>
              <w:jc w:val="center"/>
              <w:rPr>
                <w:rFonts w:ascii="宋体" w:hAnsi="宋体"/>
                <w:color w:val="000000"/>
                <w:szCs w:val="21"/>
                <w:highlight w:val="none"/>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06" w:hRule="atLeast"/>
          <w:jc w:val="center"/>
        </w:trPr>
        <w:tc>
          <w:tcPr>
            <w:tcW w:w="796" w:type="dxa"/>
            <w:vAlign w:val="center"/>
          </w:tcPr>
          <w:p>
            <w:pPr>
              <w:autoSpaceDE w:val="0"/>
              <w:autoSpaceDN w:val="0"/>
              <w:adjustRightInd w:val="0"/>
              <w:jc w:val="center"/>
              <w:rPr>
                <w:rFonts w:ascii="宋体" w:hAnsi="宋体"/>
                <w:color w:val="000000"/>
                <w:szCs w:val="21"/>
                <w:highlight w:val="none"/>
                <w:lang w:val="zh-CN"/>
              </w:rPr>
            </w:pPr>
            <w:r>
              <w:rPr>
                <w:rFonts w:hint="eastAsia" w:ascii="宋体" w:hAnsi="宋体"/>
                <w:color w:val="000000"/>
                <w:szCs w:val="21"/>
                <w:highlight w:val="none"/>
                <w:lang w:val="en-US" w:eastAsia="zh-CN"/>
              </w:rPr>
              <w:t>2</w:t>
            </w:r>
          </w:p>
        </w:tc>
        <w:tc>
          <w:tcPr>
            <w:tcW w:w="1560" w:type="dxa"/>
            <w:vAlign w:val="center"/>
          </w:tcPr>
          <w:p>
            <w:pPr>
              <w:wordWrap w:val="0"/>
              <w:rPr>
                <w:rFonts w:ascii="宋体" w:hAnsi="宋体" w:cs="宋体"/>
                <w:color w:val="000000"/>
                <w:szCs w:val="21"/>
                <w:highlight w:val="none"/>
              </w:rPr>
            </w:pPr>
            <w:r>
              <w:rPr>
                <w:rFonts w:hint="eastAsia"/>
                <w:color w:val="000000"/>
                <w:highlight w:val="none"/>
                <w:lang w:eastAsia="zh-CN"/>
              </w:rPr>
              <w:t>技术支持与售后服务</w:t>
            </w:r>
          </w:p>
        </w:tc>
        <w:tc>
          <w:tcPr>
            <w:tcW w:w="981" w:type="dxa"/>
            <w:vAlign w:val="center"/>
          </w:tcPr>
          <w:p>
            <w:pPr>
              <w:wordWrap w:val="0"/>
              <w:jc w:val="center"/>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shd w:val="clear" w:color="auto" w:fill="auto"/>
                <w:lang w:val="en-US" w:eastAsia="zh-CN"/>
              </w:rPr>
              <w:t>5</w:t>
            </w:r>
          </w:p>
        </w:tc>
        <w:tc>
          <w:tcPr>
            <w:tcW w:w="4713" w:type="dxa"/>
            <w:vAlign w:val="top"/>
          </w:tcPr>
          <w:p>
            <w:pPr>
              <w:adjustRightInd/>
              <w:snapToGrid/>
              <w:jc w:val="both"/>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eastAsia="zh-CN"/>
              </w:rPr>
              <w:t>公司</w:t>
            </w:r>
            <w:r>
              <w:rPr>
                <w:rFonts w:hint="eastAsia" w:ascii="宋体" w:hAnsi="宋体"/>
                <w:color w:val="000000"/>
                <w:sz w:val="21"/>
                <w:szCs w:val="21"/>
                <w:highlight w:val="none"/>
              </w:rPr>
              <w:t>注册地址在</w:t>
            </w:r>
            <w:r>
              <w:rPr>
                <w:rFonts w:hint="eastAsia" w:ascii="宋体" w:hAnsi="宋体"/>
                <w:color w:val="000000"/>
                <w:sz w:val="21"/>
                <w:szCs w:val="21"/>
                <w:highlight w:val="none"/>
                <w:lang w:eastAsia="zh-CN"/>
              </w:rPr>
              <w:t>惠州市内或惠州市内注册有分公司</w:t>
            </w:r>
            <w:r>
              <w:rPr>
                <w:rFonts w:hint="eastAsia" w:ascii="宋体" w:hAnsi="宋体"/>
                <w:color w:val="000000"/>
                <w:sz w:val="21"/>
                <w:szCs w:val="21"/>
                <w:highlight w:val="none"/>
                <w:lang w:val="en-US" w:eastAsia="zh-CN"/>
              </w:rPr>
              <w:t>5</w:t>
            </w:r>
            <w:r>
              <w:rPr>
                <w:rFonts w:hint="eastAsia" w:ascii="宋体" w:hAnsi="宋体"/>
                <w:color w:val="000000"/>
                <w:sz w:val="21"/>
                <w:szCs w:val="21"/>
                <w:highlight w:val="none"/>
              </w:rPr>
              <w:t>分</w:t>
            </w:r>
            <w:r>
              <w:rPr>
                <w:rFonts w:hint="eastAsia" w:ascii="宋体" w:hAnsi="宋体"/>
                <w:color w:val="000000"/>
                <w:sz w:val="21"/>
                <w:szCs w:val="21"/>
                <w:highlight w:val="none"/>
                <w:lang w:eastAsia="zh-CN"/>
              </w:rPr>
              <w:t>；广东省内惠州市外</w:t>
            </w:r>
            <w:r>
              <w:rPr>
                <w:rFonts w:hint="eastAsia" w:ascii="宋体" w:hAnsi="宋体"/>
                <w:color w:val="000000"/>
                <w:sz w:val="21"/>
                <w:szCs w:val="21"/>
                <w:highlight w:val="none"/>
                <w:lang w:val="en-US" w:eastAsia="zh-CN"/>
              </w:rPr>
              <w:t>得3分；广东省外得1分。</w:t>
            </w:r>
          </w:p>
          <w:p>
            <w:pPr>
              <w:adjustRightInd/>
              <w:snapToGrid/>
              <w:jc w:val="both"/>
              <w:rPr>
                <w:rFonts w:hint="eastAsia" w:ascii="宋体" w:hAnsi="宋体"/>
                <w:color w:val="000000"/>
                <w:sz w:val="21"/>
                <w:szCs w:val="21"/>
                <w:highlight w:val="none"/>
                <w:lang w:val="en-US" w:eastAsia="zh-CN"/>
              </w:rPr>
            </w:pPr>
          </w:p>
        </w:tc>
        <w:tc>
          <w:tcPr>
            <w:tcW w:w="1393" w:type="dxa"/>
            <w:vAlign w:val="center"/>
          </w:tcPr>
          <w:p>
            <w:pPr>
              <w:autoSpaceDE w:val="0"/>
              <w:autoSpaceDN w:val="0"/>
              <w:adjustRightInd w:val="0"/>
              <w:jc w:val="center"/>
              <w:rPr>
                <w:rFonts w:ascii="宋体" w:hAnsi="宋体"/>
                <w:color w:val="000000"/>
                <w:szCs w:val="21"/>
                <w:highlight w:val="none"/>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58" w:hRule="atLeast"/>
          <w:jc w:val="center"/>
        </w:trPr>
        <w:tc>
          <w:tcPr>
            <w:tcW w:w="8050" w:type="dxa"/>
            <w:gridSpan w:val="4"/>
            <w:vAlign w:val="center"/>
          </w:tcPr>
          <w:p>
            <w:pPr>
              <w:autoSpaceDE w:val="0"/>
              <w:autoSpaceDN w:val="0"/>
              <w:adjustRightInd w:val="0"/>
              <w:jc w:val="center"/>
              <w:rPr>
                <w:rFonts w:ascii="宋体" w:hAnsi="宋体"/>
                <w:b/>
                <w:color w:val="000000"/>
                <w:sz w:val="21"/>
                <w:szCs w:val="21"/>
                <w:highlight w:val="none"/>
              </w:rPr>
            </w:pPr>
            <w:r>
              <w:rPr>
                <w:rFonts w:hint="eastAsia" w:ascii="宋体" w:hAnsi="宋体"/>
                <w:b/>
                <w:color w:val="000000"/>
                <w:sz w:val="21"/>
                <w:szCs w:val="21"/>
                <w:highlight w:val="none"/>
                <w:lang w:val="zh-CN"/>
              </w:rPr>
              <w:t>三、商务部分</w:t>
            </w:r>
          </w:p>
        </w:tc>
        <w:tc>
          <w:tcPr>
            <w:tcW w:w="1393" w:type="dxa"/>
            <w:vAlign w:val="center"/>
          </w:tcPr>
          <w:p>
            <w:pPr>
              <w:autoSpaceDE w:val="0"/>
              <w:autoSpaceDN w:val="0"/>
              <w:adjustRightInd w:val="0"/>
              <w:jc w:val="center"/>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51" w:hRule="atLeast"/>
          <w:jc w:val="center"/>
        </w:trPr>
        <w:tc>
          <w:tcPr>
            <w:tcW w:w="796" w:type="dxa"/>
            <w:vAlign w:val="center"/>
          </w:tcPr>
          <w:p>
            <w:pPr>
              <w:autoSpaceDE w:val="0"/>
              <w:autoSpaceDN w:val="0"/>
              <w:adjustRightInd w:val="0"/>
              <w:jc w:val="center"/>
              <w:rPr>
                <w:rFonts w:ascii="宋体" w:hAnsi="宋体"/>
                <w:color w:val="000000"/>
                <w:szCs w:val="21"/>
                <w:highlight w:val="none"/>
              </w:rPr>
            </w:pPr>
            <w:r>
              <w:rPr>
                <w:rFonts w:hint="eastAsia" w:ascii="宋体" w:hAnsi="宋体"/>
                <w:color w:val="000000"/>
                <w:szCs w:val="21"/>
                <w:highlight w:val="none"/>
                <w:lang w:val="zh-CN"/>
              </w:rPr>
              <w:t>序号</w:t>
            </w:r>
          </w:p>
        </w:tc>
        <w:tc>
          <w:tcPr>
            <w:tcW w:w="1560" w:type="dxa"/>
            <w:vAlign w:val="center"/>
          </w:tcPr>
          <w:p>
            <w:pPr>
              <w:autoSpaceDE w:val="0"/>
              <w:autoSpaceDN w:val="0"/>
              <w:adjustRightInd w:val="0"/>
              <w:jc w:val="center"/>
              <w:rPr>
                <w:rFonts w:ascii="宋体" w:hAnsi="宋体"/>
                <w:color w:val="000000"/>
                <w:szCs w:val="21"/>
                <w:highlight w:val="none"/>
              </w:rPr>
            </w:pPr>
            <w:r>
              <w:rPr>
                <w:rFonts w:hint="eastAsia" w:ascii="宋体" w:hAnsi="宋体"/>
                <w:color w:val="000000"/>
                <w:szCs w:val="21"/>
                <w:highlight w:val="none"/>
                <w:lang w:val="zh-CN"/>
              </w:rPr>
              <w:t>内容</w:t>
            </w:r>
          </w:p>
        </w:tc>
        <w:tc>
          <w:tcPr>
            <w:tcW w:w="981" w:type="dxa"/>
            <w:vAlign w:val="center"/>
          </w:tcPr>
          <w:p>
            <w:pPr>
              <w:autoSpaceDE w:val="0"/>
              <w:autoSpaceDN w:val="0"/>
              <w:adjustRightInd w:val="0"/>
              <w:jc w:val="center"/>
              <w:rPr>
                <w:rFonts w:ascii="宋体" w:hAnsi="宋体"/>
                <w:color w:val="000000"/>
                <w:szCs w:val="21"/>
                <w:highlight w:val="none"/>
              </w:rPr>
            </w:pPr>
            <w:r>
              <w:rPr>
                <w:rFonts w:hint="eastAsia" w:ascii="宋体" w:hAnsi="宋体"/>
                <w:color w:val="000000"/>
                <w:szCs w:val="21"/>
                <w:highlight w:val="none"/>
                <w:lang w:val="zh-CN"/>
              </w:rPr>
              <w:t>权重</w:t>
            </w:r>
          </w:p>
        </w:tc>
        <w:tc>
          <w:tcPr>
            <w:tcW w:w="4713" w:type="dxa"/>
            <w:vAlign w:val="center"/>
          </w:tcPr>
          <w:p>
            <w:pPr>
              <w:autoSpaceDE w:val="0"/>
              <w:autoSpaceDN w:val="0"/>
              <w:adjustRightInd w:val="0"/>
              <w:jc w:val="center"/>
              <w:rPr>
                <w:rFonts w:ascii="宋体" w:hAnsi="宋体"/>
                <w:color w:val="000000"/>
                <w:sz w:val="21"/>
                <w:szCs w:val="21"/>
                <w:highlight w:val="none"/>
              </w:rPr>
            </w:pPr>
            <w:r>
              <w:rPr>
                <w:rFonts w:hint="eastAsia" w:ascii="宋体" w:hAnsi="宋体"/>
                <w:color w:val="000000"/>
                <w:sz w:val="21"/>
                <w:szCs w:val="21"/>
                <w:highlight w:val="none"/>
                <w:lang w:val="zh-CN"/>
              </w:rPr>
              <w:t>评分规则</w:t>
            </w:r>
          </w:p>
        </w:tc>
        <w:tc>
          <w:tcPr>
            <w:tcW w:w="1393" w:type="dxa"/>
            <w:vAlign w:val="center"/>
          </w:tcPr>
          <w:p>
            <w:pPr>
              <w:autoSpaceDE w:val="0"/>
              <w:autoSpaceDN w:val="0"/>
              <w:adjustRightInd w:val="0"/>
              <w:jc w:val="center"/>
              <w:rPr>
                <w:rFonts w:ascii="宋体" w:hAnsi="宋体"/>
                <w:color w:val="000000"/>
                <w:szCs w:val="21"/>
                <w:highlight w:val="none"/>
                <w:lang w:val="zh-CN"/>
              </w:rPr>
            </w:pPr>
            <w:r>
              <w:rPr>
                <w:rFonts w:hint="eastAsia" w:ascii="宋体" w:hAnsi="宋体"/>
                <w:color w:val="000000"/>
                <w:szCs w:val="21"/>
                <w:highlight w:val="none"/>
                <w:lang w:val="zh-CN"/>
              </w:rPr>
              <w:t>评分方式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51" w:hRule="atLeast"/>
          <w:jc w:val="center"/>
        </w:trPr>
        <w:tc>
          <w:tcPr>
            <w:tcW w:w="796" w:type="dxa"/>
            <w:tcBorders>
              <w:top w:val="single" w:color="auto" w:sz="6" w:space="0"/>
              <w:left w:val="single" w:color="auto" w:sz="6" w:space="0"/>
              <w:bottom w:val="single" w:color="auto" w:sz="6" w:space="0"/>
              <w:right w:val="single" w:color="auto" w:sz="6" w:space="0"/>
            </w:tcBorders>
            <w:vAlign w:val="center"/>
          </w:tcPr>
          <w:p>
            <w:pPr>
              <w:jc w:val="center"/>
              <w:rPr>
                <w:rFonts w:hint="eastAsia" w:eastAsia="宋体"/>
                <w:color w:val="000000"/>
                <w:sz w:val="20"/>
                <w:highlight w:val="none"/>
                <w:lang w:val="en-US" w:eastAsia="zh-CN"/>
              </w:rPr>
            </w:pPr>
            <w:r>
              <w:rPr>
                <w:rFonts w:hint="eastAsia"/>
                <w:color w:val="000000"/>
                <w:sz w:val="20"/>
                <w:highlight w:val="none"/>
                <w:lang w:val="en-US" w:eastAsia="zh-CN"/>
              </w:rPr>
              <w:t>1</w:t>
            </w:r>
          </w:p>
        </w:tc>
        <w:tc>
          <w:tcPr>
            <w:tcW w:w="1560" w:type="dxa"/>
            <w:tcBorders>
              <w:top w:val="single" w:color="auto" w:sz="6" w:space="0"/>
              <w:left w:val="single" w:color="auto" w:sz="6" w:space="0"/>
              <w:bottom w:val="single" w:color="auto" w:sz="6" w:space="0"/>
              <w:right w:val="single" w:color="auto" w:sz="6" w:space="0"/>
            </w:tcBorders>
            <w:vAlign w:val="center"/>
          </w:tcPr>
          <w:p>
            <w:pPr>
              <w:wordWrap w:val="0"/>
              <w:rPr>
                <w:rFonts w:hint="eastAsia" w:ascii="宋体" w:hAnsi="宋体" w:eastAsia="宋体"/>
                <w:b/>
                <w:color w:val="000000"/>
                <w:szCs w:val="21"/>
                <w:highlight w:val="none"/>
                <w:lang w:eastAsia="zh-CN"/>
              </w:rPr>
            </w:pPr>
            <w:r>
              <w:rPr>
                <w:rFonts w:hint="eastAsia" w:ascii="宋体" w:hAnsi="宋体"/>
                <w:b w:val="0"/>
                <w:bCs/>
                <w:color w:val="000000"/>
                <w:szCs w:val="21"/>
                <w:highlight w:val="none"/>
                <w:lang w:eastAsia="zh-CN"/>
              </w:rPr>
              <w:t>实施人员</w:t>
            </w:r>
          </w:p>
        </w:tc>
        <w:tc>
          <w:tcPr>
            <w:tcW w:w="981" w:type="dxa"/>
            <w:tcBorders>
              <w:top w:val="single" w:color="auto" w:sz="6" w:space="0"/>
              <w:left w:val="single" w:color="auto" w:sz="6" w:space="0"/>
              <w:bottom w:val="single" w:color="auto" w:sz="6" w:space="0"/>
              <w:right w:val="single" w:color="auto" w:sz="6" w:space="0"/>
            </w:tcBorders>
            <w:vAlign w:val="center"/>
          </w:tcPr>
          <w:p>
            <w:pPr>
              <w:wordWrap w:val="0"/>
              <w:jc w:val="center"/>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15</w:t>
            </w:r>
          </w:p>
        </w:tc>
        <w:tc>
          <w:tcPr>
            <w:tcW w:w="4713" w:type="dxa"/>
            <w:tcBorders>
              <w:top w:val="single" w:color="auto" w:sz="6" w:space="0"/>
              <w:left w:val="single" w:color="auto" w:sz="6" w:space="0"/>
              <w:bottom w:val="single" w:color="auto" w:sz="6" w:space="0"/>
              <w:right w:val="single" w:color="auto" w:sz="6" w:space="0"/>
            </w:tcBorders>
            <w:vAlign w:val="top"/>
          </w:tcPr>
          <w:p>
            <w:pPr>
              <w:rPr>
                <w:rFonts w:hint="eastAsia" w:hAnsi="宋体"/>
                <w:color w:val="000000"/>
                <w:sz w:val="21"/>
                <w:szCs w:val="21"/>
                <w:highlight w:val="none"/>
                <w:lang w:val="en-US" w:eastAsia="zh-CN"/>
              </w:rPr>
            </w:pPr>
            <w:r>
              <w:rPr>
                <w:rFonts w:hint="eastAsia" w:hAnsi="宋体"/>
                <w:color w:val="000000"/>
                <w:sz w:val="21"/>
                <w:szCs w:val="21"/>
                <w:highlight w:val="none"/>
                <w:lang w:val="en-US" w:eastAsia="zh-CN"/>
              </w:rPr>
              <w:t>1、</w:t>
            </w:r>
            <w:r>
              <w:rPr>
                <w:rFonts w:hint="eastAsia" w:ascii="宋体" w:hAnsi="宋体"/>
                <w:color w:val="000000"/>
                <w:sz w:val="21"/>
                <w:szCs w:val="21"/>
                <w:highlight w:val="none"/>
                <w:lang w:val="zh-CN"/>
              </w:rPr>
              <w:t>项目负责人为行政管理专业毕业，获得管理学学士学位，具有大学本科学历，具有质量管理体系</w:t>
            </w:r>
            <w:r>
              <w:rPr>
                <w:rFonts w:hint="eastAsia" w:ascii="宋体" w:hAnsi="宋体"/>
                <w:color w:val="000000"/>
                <w:sz w:val="21"/>
                <w:szCs w:val="21"/>
                <w:highlight w:val="none"/>
                <w:lang w:val="en-US" w:eastAsia="zh-CN"/>
              </w:rPr>
              <w:t>GB/T19001-2016/ISO9001:2015内部审核员资格证书，</w:t>
            </w:r>
            <w:r>
              <w:rPr>
                <w:rFonts w:hint="eastAsia" w:ascii="宋体" w:hAnsi="宋体"/>
                <w:color w:val="000000"/>
                <w:sz w:val="21"/>
                <w:szCs w:val="21"/>
                <w:highlight w:val="none"/>
                <w:lang w:val="zh-CN"/>
              </w:rPr>
              <w:t>有在投标方不少于5年的</w:t>
            </w:r>
            <w:r>
              <w:rPr>
                <w:rFonts w:hint="eastAsia" w:ascii="宋体" w:hAnsi="宋体"/>
                <w:b/>
                <w:bCs/>
                <w:color w:val="000000"/>
                <w:sz w:val="21"/>
                <w:szCs w:val="21"/>
                <w:highlight w:val="none"/>
                <w:lang w:val="zh-CN"/>
              </w:rPr>
              <w:t>广东社保记录</w:t>
            </w:r>
            <w:r>
              <w:rPr>
                <w:rFonts w:hint="eastAsia" w:ascii="宋体" w:hAnsi="宋体"/>
                <w:color w:val="000000"/>
                <w:sz w:val="21"/>
                <w:szCs w:val="21"/>
                <w:highlight w:val="none"/>
                <w:lang w:val="zh-CN"/>
              </w:rPr>
              <w:t>及担任广东省市内5家医院病案</w:t>
            </w:r>
            <w:r>
              <w:rPr>
                <w:rFonts w:hint="eastAsia" w:ascii="宋体" w:hAnsi="宋体"/>
                <w:b/>
                <w:bCs/>
                <w:color w:val="000000"/>
                <w:sz w:val="21"/>
                <w:szCs w:val="21"/>
                <w:highlight w:val="none"/>
                <w:lang w:val="zh-CN"/>
              </w:rPr>
              <w:t>数字化或病案扫描</w:t>
            </w:r>
            <w:r>
              <w:rPr>
                <w:rFonts w:hint="eastAsia" w:ascii="宋体" w:hAnsi="宋体"/>
                <w:color w:val="000000"/>
                <w:sz w:val="21"/>
                <w:szCs w:val="21"/>
                <w:highlight w:val="none"/>
                <w:lang w:val="zh-CN"/>
              </w:rPr>
              <w:t>项目负责人经验。需提供毕业证书及学士学位复印件加盖公章，原件备查；需提供质量管理体系</w:t>
            </w:r>
            <w:r>
              <w:rPr>
                <w:rFonts w:hint="eastAsia" w:ascii="宋体" w:hAnsi="宋体"/>
                <w:color w:val="000000"/>
                <w:sz w:val="21"/>
                <w:szCs w:val="21"/>
                <w:highlight w:val="none"/>
                <w:lang w:val="en-US" w:eastAsia="zh-CN"/>
              </w:rPr>
              <w:t>GB/T19001-2016/ISO9001:2015内部审核员资格证书复印件加盖公章，原件备查；</w:t>
            </w:r>
            <w:r>
              <w:rPr>
                <w:rFonts w:hint="eastAsia" w:ascii="宋体" w:hAnsi="宋体"/>
                <w:color w:val="000000"/>
                <w:sz w:val="21"/>
                <w:szCs w:val="21"/>
                <w:highlight w:val="none"/>
                <w:lang w:val="zh-CN"/>
              </w:rPr>
              <w:t>需提供在投标方满5年的广东社保记录、不少于5家广东省内医院出具的证明材料及提供出具证明的</w:t>
            </w:r>
            <w:r>
              <w:rPr>
                <w:rFonts w:hint="eastAsia" w:ascii="宋体" w:hAnsi="宋体"/>
                <w:color w:val="000000"/>
                <w:sz w:val="21"/>
                <w:szCs w:val="21"/>
                <w:highlight w:val="none"/>
                <w:lang w:val="en-US" w:eastAsia="zh-CN"/>
              </w:rPr>
              <w:t>5家医院的病案数字化或病案扫描合同复印件加盖公章，原件备查</w:t>
            </w:r>
            <w:r>
              <w:rPr>
                <w:rFonts w:hint="eastAsia" w:ascii="宋体" w:hAnsi="宋体"/>
                <w:color w:val="000000"/>
                <w:sz w:val="21"/>
                <w:szCs w:val="21"/>
                <w:highlight w:val="none"/>
                <w:lang w:val="zh-CN"/>
              </w:rPr>
              <w:t>得</w:t>
            </w:r>
            <w:r>
              <w:rPr>
                <w:rFonts w:hint="eastAsia" w:ascii="宋体" w:hAnsi="宋体"/>
                <w:color w:val="000000"/>
                <w:sz w:val="21"/>
                <w:szCs w:val="21"/>
                <w:highlight w:val="none"/>
                <w:lang w:val="en-US" w:eastAsia="zh-CN"/>
              </w:rPr>
              <w:t>5</w:t>
            </w:r>
            <w:r>
              <w:rPr>
                <w:rFonts w:hint="eastAsia" w:ascii="宋体" w:hAnsi="宋体"/>
                <w:color w:val="000000"/>
                <w:sz w:val="21"/>
                <w:szCs w:val="21"/>
                <w:highlight w:val="none"/>
                <w:lang w:val="zh-CN"/>
              </w:rPr>
              <w:t>分，不提供不得分。</w:t>
            </w:r>
          </w:p>
          <w:p>
            <w:pPr>
              <w:spacing w:line="276" w:lineRule="auto"/>
              <w:jc w:val="left"/>
              <w:rPr>
                <w:rFonts w:hint="eastAsia" w:ascii="宋体" w:hAnsi="宋体" w:eastAsia="宋体"/>
                <w:color w:val="000000"/>
                <w:sz w:val="21"/>
                <w:szCs w:val="21"/>
                <w:highlight w:val="none"/>
                <w:lang w:val="en-US" w:eastAsia="zh-CN"/>
              </w:rPr>
            </w:pPr>
            <w:r>
              <w:rPr>
                <w:rFonts w:hint="eastAsia" w:hAnsi="宋体"/>
                <w:color w:val="000000"/>
                <w:sz w:val="21"/>
                <w:szCs w:val="21"/>
                <w:highlight w:val="none"/>
                <w:lang w:val="en-US" w:eastAsia="zh-CN"/>
              </w:rPr>
              <w:t>2、</w:t>
            </w:r>
            <w:r>
              <w:rPr>
                <w:rFonts w:hint="eastAsia" w:ascii="宋体" w:hAnsi="宋体"/>
                <w:color w:val="000000"/>
                <w:sz w:val="21"/>
                <w:szCs w:val="21"/>
                <w:highlight w:val="none"/>
                <w:lang w:val="zh-CN"/>
              </w:rPr>
              <w:t>投标人配备不少于</w:t>
            </w:r>
            <w:r>
              <w:rPr>
                <w:rFonts w:hint="eastAsia" w:ascii="宋体" w:hAnsi="宋体"/>
                <w:color w:val="000000"/>
                <w:sz w:val="21"/>
                <w:szCs w:val="21"/>
                <w:highlight w:val="none"/>
                <w:lang w:val="en-US" w:eastAsia="zh-CN"/>
              </w:rPr>
              <w:t>20</w:t>
            </w:r>
            <w:r>
              <w:rPr>
                <w:rFonts w:hint="eastAsia" w:ascii="宋体" w:hAnsi="宋体"/>
                <w:color w:val="000000"/>
                <w:sz w:val="21"/>
                <w:szCs w:val="21"/>
                <w:highlight w:val="none"/>
                <w:lang w:val="zh-CN"/>
              </w:rPr>
              <w:t>人的团队实施人员，所有参与项目的人员需要有在投标方满1年的广东社保记录且有不少于1年的病案数字化项目实施经验；配备1名计算机实施人员，要求具有本科学历，计算机相关专业毕业，有在投标方不少于一年的</w:t>
            </w:r>
            <w:r>
              <w:rPr>
                <w:rFonts w:hint="eastAsia" w:ascii="宋体" w:hAnsi="宋体"/>
                <w:b/>
                <w:bCs/>
                <w:color w:val="000000"/>
                <w:sz w:val="21"/>
                <w:szCs w:val="21"/>
                <w:highlight w:val="none"/>
                <w:lang w:val="zh-CN"/>
              </w:rPr>
              <w:t>广东</w:t>
            </w:r>
            <w:r>
              <w:rPr>
                <w:rFonts w:hint="eastAsia" w:ascii="宋体" w:hAnsi="宋体"/>
                <w:color w:val="000000"/>
                <w:sz w:val="21"/>
                <w:szCs w:val="21"/>
                <w:highlight w:val="none"/>
                <w:lang w:val="zh-CN"/>
              </w:rPr>
              <w:t>社保记录及</w:t>
            </w:r>
            <w:r>
              <w:rPr>
                <w:rFonts w:hint="eastAsia" w:ascii="宋体" w:hAnsi="宋体"/>
                <w:b/>
                <w:bCs/>
                <w:color w:val="000000"/>
                <w:sz w:val="21"/>
                <w:szCs w:val="21"/>
                <w:highlight w:val="none"/>
                <w:lang w:val="zh-CN"/>
              </w:rPr>
              <w:t>广东省内</w:t>
            </w:r>
            <w:r>
              <w:rPr>
                <w:rFonts w:hint="eastAsia" w:ascii="宋体" w:hAnsi="宋体"/>
                <w:color w:val="000000"/>
                <w:sz w:val="21"/>
                <w:szCs w:val="21"/>
                <w:highlight w:val="none"/>
                <w:lang w:val="zh-CN"/>
              </w:rPr>
              <w:t>医院提供的不少于1年的项目实施经验证明材料。提供不少于</w:t>
            </w:r>
            <w:r>
              <w:rPr>
                <w:rFonts w:hint="eastAsia" w:ascii="宋体" w:hAnsi="宋体"/>
                <w:color w:val="000000"/>
                <w:sz w:val="21"/>
                <w:szCs w:val="21"/>
                <w:highlight w:val="none"/>
                <w:lang w:val="en-US" w:eastAsia="zh-CN"/>
              </w:rPr>
              <w:t>20人</w:t>
            </w:r>
            <w:r>
              <w:rPr>
                <w:rFonts w:hint="eastAsia" w:ascii="宋体" w:hAnsi="宋体"/>
                <w:color w:val="000000"/>
                <w:sz w:val="21"/>
                <w:szCs w:val="21"/>
                <w:highlight w:val="none"/>
                <w:lang w:val="zh-CN"/>
              </w:rPr>
              <w:t>实施团队社保清单复印件加盖公章、由医院提供不少于1年项目实施经验证明材料及提供出具证明的医院签订的病案数字化（或病案扫描）合同复印件加盖公章，原件备查，不提供不得分；需提供计算机实施人员毕业证书复印件加盖公章、社保记录复印件加盖公章、不少于</w:t>
            </w:r>
            <w:r>
              <w:rPr>
                <w:rFonts w:hint="eastAsia" w:ascii="宋体" w:hAnsi="宋体"/>
                <w:color w:val="000000"/>
                <w:sz w:val="21"/>
                <w:szCs w:val="21"/>
                <w:highlight w:val="none"/>
                <w:lang w:val="en-US" w:eastAsia="zh-CN"/>
              </w:rPr>
              <w:t>4家广东省内</w:t>
            </w:r>
            <w:r>
              <w:rPr>
                <w:rFonts w:hint="eastAsia" w:ascii="宋体" w:hAnsi="宋体"/>
                <w:color w:val="000000"/>
                <w:sz w:val="21"/>
                <w:szCs w:val="21"/>
                <w:highlight w:val="none"/>
                <w:lang w:val="zh-CN"/>
              </w:rPr>
              <w:t>医院出具的证明材料加盖公章，以上材料原件备查，得</w:t>
            </w:r>
            <w:r>
              <w:rPr>
                <w:rFonts w:hint="eastAsia" w:ascii="宋体" w:hAnsi="宋体"/>
                <w:color w:val="000000"/>
                <w:sz w:val="21"/>
                <w:szCs w:val="21"/>
                <w:highlight w:val="none"/>
                <w:lang w:val="en-US" w:eastAsia="zh-CN"/>
              </w:rPr>
              <w:t>10</w:t>
            </w:r>
            <w:r>
              <w:rPr>
                <w:rFonts w:hint="eastAsia" w:ascii="宋体" w:hAnsi="宋体"/>
                <w:color w:val="000000"/>
                <w:sz w:val="21"/>
                <w:szCs w:val="21"/>
                <w:highlight w:val="none"/>
                <w:lang w:val="zh-CN"/>
              </w:rPr>
              <w:t>分，不提供不得分。</w:t>
            </w:r>
          </w:p>
        </w:tc>
        <w:tc>
          <w:tcPr>
            <w:tcW w:w="139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宋体" w:hAnsi="宋体"/>
                <w:color w:val="000000"/>
                <w:szCs w:val="21"/>
                <w:highlight w:val="none"/>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51" w:hRule="atLeast"/>
          <w:jc w:val="center"/>
        </w:trPr>
        <w:tc>
          <w:tcPr>
            <w:tcW w:w="796" w:type="dxa"/>
            <w:tcBorders>
              <w:top w:val="single" w:color="auto" w:sz="6" w:space="0"/>
              <w:left w:val="single" w:color="auto" w:sz="6" w:space="0"/>
              <w:bottom w:val="single" w:color="auto" w:sz="6" w:space="0"/>
              <w:right w:val="single" w:color="auto" w:sz="6" w:space="0"/>
            </w:tcBorders>
            <w:vAlign w:val="center"/>
          </w:tcPr>
          <w:p>
            <w:pPr>
              <w:jc w:val="both"/>
              <w:rPr>
                <w:rFonts w:hint="eastAsia" w:eastAsia="宋体"/>
                <w:color w:val="000000"/>
                <w:sz w:val="20"/>
                <w:highlight w:val="none"/>
                <w:lang w:val="en-US" w:eastAsia="zh-CN"/>
              </w:rPr>
            </w:pPr>
            <w:r>
              <w:rPr>
                <w:rFonts w:hint="eastAsia"/>
                <w:color w:val="000000"/>
                <w:sz w:val="20"/>
                <w:highlight w:val="none"/>
                <w:lang w:val="en-US" w:eastAsia="zh-CN"/>
              </w:rPr>
              <w:t>2</w:t>
            </w:r>
          </w:p>
        </w:tc>
        <w:tc>
          <w:tcPr>
            <w:tcW w:w="1560" w:type="dxa"/>
            <w:tcBorders>
              <w:top w:val="single" w:color="auto" w:sz="6" w:space="0"/>
              <w:left w:val="single" w:color="auto" w:sz="6" w:space="0"/>
              <w:bottom w:val="single" w:color="auto" w:sz="6" w:space="0"/>
              <w:right w:val="single" w:color="auto" w:sz="6" w:space="0"/>
            </w:tcBorders>
            <w:vAlign w:val="center"/>
          </w:tcPr>
          <w:p>
            <w:pPr>
              <w:wordWrap w:val="0"/>
              <w:rPr>
                <w:rFonts w:hint="eastAsia" w:ascii="宋体" w:hAnsi="宋体" w:cs="宋体"/>
                <w:color w:val="000000"/>
                <w:szCs w:val="21"/>
                <w:highlight w:val="none"/>
                <w:lang w:eastAsia="zh-CN"/>
              </w:rPr>
            </w:pPr>
            <w:r>
              <w:rPr>
                <w:rFonts w:hint="eastAsia" w:ascii="宋体" w:hAnsi="宋体" w:cs="宋体"/>
                <w:color w:val="000000"/>
                <w:szCs w:val="21"/>
                <w:highlight w:val="none"/>
                <w:lang w:eastAsia="zh-CN"/>
              </w:rPr>
              <w:t>企业社会责任及</w:t>
            </w:r>
            <w:r>
              <w:rPr>
                <w:rFonts w:hint="eastAsia" w:ascii="宋体" w:hAnsi="宋体"/>
                <w:color w:val="000000"/>
                <w:sz w:val="22"/>
                <w:szCs w:val="22"/>
                <w:highlight w:val="none"/>
              </w:rPr>
              <w:t>投标人资格情况及通过相关认证情况</w:t>
            </w:r>
          </w:p>
        </w:tc>
        <w:tc>
          <w:tcPr>
            <w:tcW w:w="981" w:type="dxa"/>
            <w:tcBorders>
              <w:top w:val="single" w:color="auto" w:sz="6" w:space="0"/>
              <w:left w:val="single" w:color="auto" w:sz="6" w:space="0"/>
              <w:bottom w:val="single" w:color="auto" w:sz="6" w:space="0"/>
              <w:right w:val="single" w:color="auto" w:sz="6" w:space="0"/>
            </w:tcBorders>
            <w:vAlign w:val="center"/>
          </w:tcPr>
          <w:p>
            <w:pPr>
              <w:wordWrap w:val="0"/>
              <w:jc w:val="center"/>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6</w:t>
            </w:r>
          </w:p>
        </w:tc>
        <w:tc>
          <w:tcPr>
            <w:tcW w:w="4713" w:type="dxa"/>
            <w:tcBorders>
              <w:top w:val="single" w:color="auto" w:sz="6" w:space="0"/>
              <w:left w:val="single" w:color="auto" w:sz="6" w:space="0"/>
              <w:bottom w:val="single" w:color="auto" w:sz="6" w:space="0"/>
              <w:right w:val="single" w:color="auto" w:sz="6" w:space="0"/>
            </w:tcBorders>
            <w:vAlign w:val="top"/>
          </w:tcPr>
          <w:p>
            <w:pPr>
              <w:spacing w:line="276" w:lineRule="auto"/>
              <w:jc w:val="left"/>
              <w:rPr>
                <w:rFonts w:hint="eastAsia" w:ascii="宋体" w:hAnsi="宋体"/>
                <w:color w:val="000000"/>
                <w:sz w:val="21"/>
                <w:szCs w:val="21"/>
                <w:highlight w:val="none"/>
                <w:lang w:val="zh-CN"/>
              </w:rPr>
            </w:pPr>
            <w:r>
              <w:rPr>
                <w:rFonts w:hint="eastAsia" w:ascii="宋体" w:hAnsi="宋体"/>
                <w:color w:val="000000"/>
                <w:sz w:val="21"/>
                <w:szCs w:val="21"/>
                <w:highlight w:val="none"/>
                <w:lang w:val="en-US" w:eastAsia="zh-CN"/>
              </w:rPr>
              <w:t>1、</w:t>
            </w:r>
            <w:r>
              <w:rPr>
                <w:rFonts w:hint="eastAsia" w:ascii="宋体" w:hAnsi="宋体"/>
                <w:color w:val="000000"/>
                <w:sz w:val="21"/>
                <w:szCs w:val="21"/>
                <w:highlight w:val="none"/>
                <w:lang w:val="zh-CN"/>
              </w:rPr>
              <w:t>提供公司注册所在地档案管理机构或档案学会提供的《档案中介服务机构备案回执》得</w:t>
            </w:r>
            <w:r>
              <w:rPr>
                <w:rFonts w:hint="eastAsia" w:ascii="宋体" w:hAnsi="宋体"/>
                <w:color w:val="000000"/>
                <w:sz w:val="21"/>
                <w:szCs w:val="21"/>
                <w:highlight w:val="none"/>
                <w:lang w:val="en-US" w:eastAsia="zh-CN"/>
              </w:rPr>
              <w:t>1</w:t>
            </w:r>
            <w:r>
              <w:rPr>
                <w:rFonts w:hint="eastAsia" w:ascii="宋体" w:hAnsi="宋体"/>
                <w:color w:val="000000"/>
                <w:sz w:val="21"/>
                <w:szCs w:val="21"/>
                <w:highlight w:val="none"/>
                <w:lang w:val="zh-CN"/>
              </w:rPr>
              <w:t>分，需提供复印件加盖公章，原件备查，不提供不得分；</w:t>
            </w:r>
          </w:p>
          <w:p>
            <w:pPr>
              <w:spacing w:line="276" w:lineRule="auto"/>
              <w:jc w:val="left"/>
              <w:rPr>
                <w:rFonts w:hint="eastAsia" w:ascii="宋体" w:hAnsi="宋体"/>
                <w:color w:val="000000"/>
                <w:sz w:val="21"/>
                <w:szCs w:val="21"/>
                <w:highlight w:val="none"/>
                <w:lang w:val="zh-CN"/>
              </w:rPr>
            </w:pPr>
            <w:r>
              <w:rPr>
                <w:rFonts w:hint="eastAsia" w:ascii="宋体" w:hAnsi="宋体"/>
                <w:color w:val="000000"/>
                <w:sz w:val="21"/>
                <w:szCs w:val="21"/>
                <w:highlight w:val="none"/>
                <w:lang w:val="en-US" w:eastAsia="zh-CN"/>
              </w:rPr>
              <w:t>2、</w:t>
            </w:r>
            <w:r>
              <w:rPr>
                <w:rFonts w:hint="eastAsia" w:ascii="宋体" w:hAnsi="宋体"/>
                <w:color w:val="000000"/>
                <w:sz w:val="21"/>
                <w:szCs w:val="21"/>
                <w:highlight w:val="none"/>
                <w:lang w:val="zh-CN"/>
              </w:rPr>
              <w:t>公司信誉等级达到AAA级得</w:t>
            </w:r>
            <w:r>
              <w:rPr>
                <w:rFonts w:hint="eastAsia" w:ascii="宋体" w:hAnsi="宋体"/>
                <w:color w:val="000000"/>
                <w:sz w:val="21"/>
                <w:szCs w:val="21"/>
                <w:highlight w:val="none"/>
                <w:lang w:val="en-US" w:eastAsia="zh-CN"/>
              </w:rPr>
              <w:t>1</w:t>
            </w:r>
            <w:r>
              <w:rPr>
                <w:rFonts w:hint="eastAsia" w:ascii="宋体" w:hAnsi="宋体"/>
                <w:color w:val="000000"/>
                <w:sz w:val="21"/>
                <w:szCs w:val="21"/>
                <w:highlight w:val="none"/>
                <w:lang w:val="zh-CN"/>
              </w:rPr>
              <w:t>分，需提供复印件加盖公章，原件备查，不提供不得分；</w:t>
            </w:r>
          </w:p>
          <w:p>
            <w:pPr>
              <w:spacing w:line="276" w:lineRule="auto"/>
              <w:jc w:val="left"/>
              <w:rPr>
                <w:rFonts w:hint="eastAsia" w:ascii="宋体" w:hAnsi="宋体"/>
                <w:color w:val="000000"/>
                <w:sz w:val="21"/>
                <w:szCs w:val="21"/>
                <w:highlight w:val="none"/>
                <w:lang w:val="zh-CN"/>
              </w:rPr>
            </w:pPr>
            <w:r>
              <w:rPr>
                <w:rFonts w:hint="eastAsia" w:ascii="宋体" w:hAnsi="宋体"/>
                <w:color w:val="000000"/>
                <w:sz w:val="21"/>
                <w:szCs w:val="21"/>
                <w:highlight w:val="none"/>
                <w:lang w:val="en-US" w:eastAsia="zh-CN"/>
              </w:rPr>
              <w:t>3、</w:t>
            </w:r>
            <w:r>
              <w:rPr>
                <w:rFonts w:hint="eastAsia" w:ascii="宋体" w:hAnsi="宋体"/>
                <w:color w:val="000000"/>
                <w:sz w:val="21"/>
                <w:szCs w:val="21"/>
                <w:highlight w:val="none"/>
                <w:lang w:val="zh-CN"/>
              </w:rPr>
              <w:t>提供省级行业协会等第三方机构颁发的有关企业诚信的证明材料复印件加盖公章得</w:t>
            </w:r>
            <w:r>
              <w:rPr>
                <w:rFonts w:hint="eastAsia" w:ascii="宋体" w:hAnsi="宋体"/>
                <w:color w:val="000000"/>
                <w:sz w:val="21"/>
                <w:szCs w:val="21"/>
                <w:highlight w:val="none"/>
                <w:lang w:val="en-US" w:eastAsia="zh-CN"/>
              </w:rPr>
              <w:t>1</w:t>
            </w:r>
            <w:r>
              <w:rPr>
                <w:rFonts w:hint="eastAsia" w:ascii="宋体" w:hAnsi="宋体"/>
                <w:color w:val="000000"/>
                <w:sz w:val="21"/>
                <w:szCs w:val="21"/>
                <w:highlight w:val="none"/>
                <w:lang w:val="zh-CN"/>
              </w:rPr>
              <w:t>分，需提供复印件加盖公章，原件备查，不提供不得分；</w:t>
            </w:r>
          </w:p>
          <w:p>
            <w:pPr>
              <w:pStyle w:val="10"/>
              <w:jc w:val="both"/>
              <w:rPr>
                <w:rFonts w:hint="eastAsia" w:ascii="宋体" w:hAnsi="宋体"/>
                <w:color w:val="000000"/>
                <w:sz w:val="21"/>
                <w:szCs w:val="21"/>
                <w:highlight w:val="none"/>
                <w:lang w:val="zh-CN"/>
              </w:rPr>
            </w:pPr>
            <w:r>
              <w:rPr>
                <w:rFonts w:hint="eastAsia" w:ascii="宋体" w:hAnsi="宋体"/>
                <w:color w:val="000000"/>
                <w:sz w:val="21"/>
                <w:szCs w:val="21"/>
                <w:highlight w:val="none"/>
                <w:lang w:val="en-US" w:eastAsia="zh-CN"/>
              </w:rPr>
              <w:t>4、</w:t>
            </w:r>
            <w:r>
              <w:rPr>
                <w:rFonts w:hint="eastAsia" w:ascii="宋体" w:hAnsi="宋体"/>
                <w:color w:val="000000"/>
                <w:sz w:val="21"/>
                <w:szCs w:val="21"/>
                <w:highlight w:val="none"/>
                <w:lang w:val="zh-CN"/>
              </w:rPr>
              <w:t>投标人具有有效的质量管理认证体系证书</w:t>
            </w:r>
            <w:r>
              <w:rPr>
                <w:rFonts w:hint="eastAsia" w:hAnsi="宋体"/>
                <w:color w:val="000000"/>
                <w:sz w:val="21"/>
                <w:szCs w:val="21"/>
                <w:highlight w:val="none"/>
                <w:lang w:val="en-US" w:eastAsia="zh-CN"/>
              </w:rPr>
              <w:t>2</w:t>
            </w:r>
            <w:r>
              <w:rPr>
                <w:rFonts w:hint="eastAsia" w:ascii="宋体" w:hAnsi="宋体"/>
                <w:color w:val="000000"/>
                <w:sz w:val="21"/>
                <w:szCs w:val="21"/>
                <w:highlight w:val="none"/>
                <w:lang w:val="zh-CN"/>
              </w:rPr>
              <w:t>分，需提供复印件加盖公章，原件备查，不提供不得分；</w:t>
            </w:r>
          </w:p>
          <w:p>
            <w:pPr>
              <w:pStyle w:val="10"/>
              <w:jc w:val="both"/>
              <w:rPr>
                <w:rFonts w:hint="eastAsia" w:ascii="宋体" w:hAnsi="宋体" w:eastAsia="宋体"/>
                <w:color w:val="000000"/>
                <w:sz w:val="21"/>
                <w:szCs w:val="21"/>
                <w:highlight w:val="none"/>
                <w:lang w:val="en-US" w:eastAsia="zh-CN"/>
              </w:rPr>
            </w:pPr>
            <w:r>
              <w:rPr>
                <w:rFonts w:hint="eastAsia" w:hAnsi="宋体"/>
                <w:color w:val="000000"/>
                <w:sz w:val="21"/>
                <w:szCs w:val="21"/>
                <w:highlight w:val="none"/>
                <w:lang w:val="en-US" w:eastAsia="zh-CN"/>
              </w:rPr>
              <w:t>5、</w:t>
            </w:r>
            <w:r>
              <w:rPr>
                <w:rFonts w:hAnsi="宋体"/>
                <w:color w:val="000000"/>
                <w:sz w:val="21"/>
                <w:szCs w:val="21"/>
                <w:highlight w:val="none"/>
              </w:rPr>
              <w:t>供应商近</w:t>
            </w:r>
            <w:r>
              <w:rPr>
                <w:color w:val="000000"/>
                <w:sz w:val="21"/>
                <w:szCs w:val="21"/>
                <w:highlight w:val="none"/>
              </w:rPr>
              <w:t>3</w:t>
            </w:r>
            <w:r>
              <w:rPr>
                <w:rFonts w:hAnsi="宋体"/>
                <w:color w:val="000000"/>
                <w:sz w:val="21"/>
                <w:szCs w:val="21"/>
                <w:highlight w:val="none"/>
              </w:rPr>
              <w:t>年（具体是指</w:t>
            </w:r>
            <w:r>
              <w:rPr>
                <w:color w:val="000000"/>
                <w:sz w:val="21"/>
                <w:szCs w:val="21"/>
                <w:highlight w:val="none"/>
              </w:rPr>
              <w:t>201</w:t>
            </w:r>
            <w:r>
              <w:rPr>
                <w:rFonts w:hint="eastAsia"/>
                <w:color w:val="000000"/>
                <w:sz w:val="21"/>
                <w:szCs w:val="21"/>
                <w:highlight w:val="none"/>
                <w:lang w:val="en-US" w:eastAsia="zh-CN"/>
              </w:rPr>
              <w:t>5</w:t>
            </w:r>
            <w:r>
              <w:rPr>
                <w:rFonts w:hAnsi="宋体"/>
                <w:color w:val="000000"/>
                <w:sz w:val="21"/>
                <w:szCs w:val="21"/>
                <w:highlight w:val="none"/>
              </w:rPr>
              <w:t>年</w:t>
            </w:r>
            <w:r>
              <w:rPr>
                <w:rFonts w:hint="eastAsia"/>
                <w:color w:val="000000"/>
                <w:sz w:val="21"/>
                <w:szCs w:val="21"/>
                <w:highlight w:val="none"/>
                <w:lang w:val="en-US" w:eastAsia="zh-CN"/>
              </w:rPr>
              <w:t>5</w:t>
            </w:r>
            <w:r>
              <w:rPr>
                <w:rFonts w:hAnsi="宋体"/>
                <w:color w:val="000000"/>
                <w:sz w:val="21"/>
                <w:szCs w:val="21"/>
                <w:highlight w:val="none"/>
              </w:rPr>
              <w:t>月至</w:t>
            </w:r>
            <w:r>
              <w:rPr>
                <w:color w:val="000000"/>
                <w:sz w:val="21"/>
                <w:szCs w:val="21"/>
                <w:highlight w:val="none"/>
              </w:rPr>
              <w:t>201</w:t>
            </w:r>
            <w:r>
              <w:rPr>
                <w:rFonts w:hint="eastAsia"/>
                <w:color w:val="000000"/>
                <w:sz w:val="21"/>
                <w:szCs w:val="21"/>
                <w:highlight w:val="none"/>
                <w:lang w:val="en-US" w:eastAsia="zh-CN"/>
              </w:rPr>
              <w:t>8</w:t>
            </w:r>
            <w:r>
              <w:rPr>
                <w:rFonts w:hAnsi="宋体"/>
                <w:color w:val="000000"/>
                <w:sz w:val="21"/>
                <w:szCs w:val="21"/>
                <w:highlight w:val="none"/>
              </w:rPr>
              <w:t>年</w:t>
            </w:r>
            <w:r>
              <w:rPr>
                <w:rFonts w:hint="eastAsia" w:hAnsi="宋体"/>
                <w:color w:val="000000"/>
                <w:sz w:val="21"/>
                <w:szCs w:val="21"/>
                <w:highlight w:val="none"/>
                <w:lang w:val="en-US" w:eastAsia="zh-CN"/>
              </w:rPr>
              <w:t>4</w:t>
            </w:r>
            <w:r>
              <w:rPr>
                <w:rFonts w:hAnsi="宋体"/>
                <w:color w:val="000000"/>
                <w:sz w:val="21"/>
                <w:szCs w:val="21"/>
                <w:highlight w:val="none"/>
              </w:rPr>
              <w:t>月</w:t>
            </w:r>
            <w:r>
              <w:rPr>
                <w:rFonts w:hint="eastAsia" w:hAnsi="宋体"/>
                <w:color w:val="000000"/>
                <w:sz w:val="21"/>
                <w:szCs w:val="21"/>
                <w:highlight w:val="none"/>
                <w:lang w:val="en-US" w:eastAsia="zh-CN"/>
              </w:rPr>
              <w:t>31日</w:t>
            </w:r>
            <w:r>
              <w:rPr>
                <w:rFonts w:hAnsi="宋体"/>
                <w:color w:val="000000"/>
                <w:sz w:val="21"/>
                <w:szCs w:val="21"/>
                <w:highlight w:val="none"/>
              </w:rPr>
              <w:t>）具备社会公益慈善或捐赠的，得</w:t>
            </w:r>
            <w:r>
              <w:rPr>
                <w:rFonts w:hint="eastAsia"/>
                <w:color w:val="000000"/>
                <w:sz w:val="21"/>
                <w:szCs w:val="21"/>
                <w:highlight w:val="none"/>
                <w:lang w:val="en-US" w:eastAsia="zh-CN"/>
              </w:rPr>
              <w:t>1</w:t>
            </w:r>
            <w:r>
              <w:rPr>
                <w:rFonts w:hAnsi="宋体"/>
                <w:color w:val="000000"/>
                <w:sz w:val="21"/>
                <w:szCs w:val="21"/>
                <w:highlight w:val="none"/>
              </w:rPr>
              <w:t>分；否则，得</w:t>
            </w:r>
            <w:r>
              <w:rPr>
                <w:color w:val="000000"/>
                <w:sz w:val="21"/>
                <w:szCs w:val="21"/>
                <w:highlight w:val="none"/>
              </w:rPr>
              <w:t>0</w:t>
            </w:r>
            <w:r>
              <w:rPr>
                <w:rFonts w:hAnsi="宋体"/>
                <w:color w:val="000000"/>
                <w:sz w:val="21"/>
                <w:szCs w:val="21"/>
                <w:highlight w:val="none"/>
              </w:rPr>
              <w:t>分。须提供社会公益慈善或捐赠荣誉证书原件</w:t>
            </w:r>
            <w:r>
              <w:rPr>
                <w:rFonts w:hint="eastAsia" w:hAnsi="宋体"/>
                <w:color w:val="000000"/>
                <w:sz w:val="21"/>
                <w:szCs w:val="21"/>
                <w:highlight w:val="none"/>
                <w:lang w:eastAsia="zh-CN"/>
              </w:rPr>
              <w:t>复印件</w:t>
            </w:r>
            <w:r>
              <w:rPr>
                <w:rFonts w:hint="eastAsia" w:hAnsi="宋体"/>
                <w:color w:val="000000"/>
                <w:sz w:val="21"/>
                <w:szCs w:val="21"/>
                <w:highlight w:val="none"/>
              </w:rPr>
              <w:t>，原件备查。</w:t>
            </w:r>
          </w:p>
        </w:tc>
        <w:tc>
          <w:tcPr>
            <w:tcW w:w="139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宋体" w:hAnsi="宋体"/>
                <w:color w:val="000000"/>
                <w:szCs w:val="21"/>
                <w:highlight w:val="none"/>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16" w:hRule="atLeast"/>
          <w:jc w:val="center"/>
        </w:trPr>
        <w:tc>
          <w:tcPr>
            <w:tcW w:w="79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3</w:t>
            </w:r>
          </w:p>
        </w:tc>
        <w:tc>
          <w:tcPr>
            <w:tcW w:w="1560" w:type="dxa"/>
            <w:tcBorders>
              <w:top w:val="single" w:color="auto" w:sz="6" w:space="0"/>
              <w:left w:val="single" w:color="auto" w:sz="6" w:space="0"/>
              <w:bottom w:val="single" w:color="auto" w:sz="6" w:space="0"/>
              <w:right w:val="single" w:color="auto" w:sz="6" w:space="0"/>
            </w:tcBorders>
            <w:vAlign w:val="center"/>
          </w:tcPr>
          <w:p>
            <w:pPr>
              <w:spacing w:line="360" w:lineRule="exact"/>
              <w:jc w:val="center"/>
              <w:rPr>
                <w:rFonts w:hint="eastAsia" w:ascii="宋体" w:hAnsi="宋体" w:eastAsia="宋体"/>
                <w:color w:val="000000"/>
                <w:szCs w:val="21"/>
                <w:highlight w:val="none"/>
                <w:lang w:eastAsia="zh-CN"/>
              </w:rPr>
            </w:pPr>
            <w:r>
              <w:rPr>
                <w:rFonts w:hint="eastAsia" w:ascii="宋体" w:hAnsi="宋体"/>
                <w:color w:val="000000"/>
                <w:szCs w:val="21"/>
                <w:highlight w:val="none"/>
                <w:lang w:eastAsia="zh-CN"/>
              </w:rPr>
              <w:t>公司产权与专利</w:t>
            </w:r>
          </w:p>
        </w:tc>
        <w:tc>
          <w:tcPr>
            <w:tcW w:w="981" w:type="dxa"/>
            <w:tcBorders>
              <w:top w:val="single" w:color="auto" w:sz="6" w:space="0"/>
              <w:left w:val="single" w:color="auto" w:sz="6" w:space="0"/>
              <w:bottom w:val="single" w:color="auto" w:sz="6" w:space="0"/>
              <w:right w:val="single" w:color="auto" w:sz="6" w:space="0"/>
            </w:tcBorders>
            <w:vAlign w:val="center"/>
          </w:tcPr>
          <w:p>
            <w:pPr>
              <w:spacing w:line="360" w:lineRule="exact"/>
              <w:jc w:val="center"/>
              <w:rPr>
                <w:rFonts w:hint="eastAsia" w:ascii="宋体" w:hAnsi="宋体"/>
                <w:color w:val="000000"/>
                <w:szCs w:val="21"/>
                <w:highlight w:val="none"/>
                <w:lang w:val="en-US" w:eastAsia="zh-CN"/>
              </w:rPr>
            </w:pPr>
            <w:r>
              <w:rPr>
                <w:rFonts w:hint="eastAsia" w:ascii="宋体" w:hAnsi="宋体"/>
                <w:color w:val="000000"/>
                <w:szCs w:val="21"/>
                <w:highlight w:val="none"/>
                <w:lang w:val="en-US" w:eastAsia="zh-CN"/>
              </w:rPr>
              <w:t>10</w:t>
            </w:r>
          </w:p>
        </w:tc>
        <w:tc>
          <w:tcPr>
            <w:tcW w:w="4713" w:type="dxa"/>
            <w:tcBorders>
              <w:top w:val="single" w:color="auto" w:sz="6" w:space="0"/>
              <w:left w:val="single" w:color="auto" w:sz="6" w:space="0"/>
              <w:bottom w:val="single" w:color="auto" w:sz="6" w:space="0"/>
              <w:right w:val="single" w:color="auto" w:sz="6" w:space="0"/>
            </w:tcBorders>
            <w:vAlign w:val="center"/>
          </w:tcPr>
          <w:p>
            <w:pPr>
              <w:jc w:val="left"/>
              <w:rPr>
                <w:rFonts w:hint="eastAsia"/>
                <w:color w:val="000000"/>
                <w:sz w:val="21"/>
                <w:szCs w:val="21"/>
                <w:highlight w:val="none"/>
              </w:rPr>
            </w:pPr>
            <w:r>
              <w:rPr>
                <w:rFonts w:hint="eastAsia"/>
                <w:color w:val="000000"/>
                <w:sz w:val="21"/>
                <w:szCs w:val="21"/>
                <w:highlight w:val="none"/>
              </w:rPr>
              <w:t>（1）具有病案数字化与质控管理软件著作权登记证书及由权威的软件测评机构出具的病案数字化与质控管理软件产品登记测试报告</w:t>
            </w:r>
            <w:r>
              <w:rPr>
                <w:rFonts w:hint="eastAsia"/>
                <w:color w:val="000000"/>
                <w:sz w:val="21"/>
                <w:szCs w:val="21"/>
                <w:highlight w:val="none"/>
                <w:lang w:eastAsia="zh-CN"/>
              </w:rPr>
              <w:t>得</w:t>
            </w:r>
            <w:r>
              <w:rPr>
                <w:rFonts w:hint="eastAsia"/>
                <w:color w:val="000000"/>
                <w:sz w:val="21"/>
                <w:szCs w:val="21"/>
                <w:highlight w:val="none"/>
                <w:lang w:val="en-US" w:eastAsia="zh-CN"/>
              </w:rPr>
              <w:t>3</w:t>
            </w:r>
            <w:r>
              <w:rPr>
                <w:rFonts w:hint="eastAsia"/>
                <w:color w:val="000000"/>
                <w:sz w:val="21"/>
                <w:szCs w:val="21"/>
                <w:highlight w:val="none"/>
              </w:rPr>
              <w:t>分；</w:t>
            </w:r>
          </w:p>
          <w:p>
            <w:pPr>
              <w:jc w:val="left"/>
              <w:rPr>
                <w:rFonts w:hint="eastAsia"/>
                <w:color w:val="000000"/>
                <w:sz w:val="21"/>
                <w:szCs w:val="21"/>
                <w:highlight w:val="none"/>
              </w:rPr>
            </w:pPr>
            <w:r>
              <w:rPr>
                <w:rFonts w:hint="eastAsia"/>
                <w:color w:val="000000"/>
                <w:sz w:val="21"/>
                <w:szCs w:val="21"/>
                <w:highlight w:val="none"/>
              </w:rPr>
              <w:t>（2）具有病案首页录入软件著作权登记证书，得</w:t>
            </w:r>
            <w:r>
              <w:rPr>
                <w:rFonts w:hint="eastAsia"/>
                <w:color w:val="000000"/>
                <w:sz w:val="21"/>
                <w:szCs w:val="21"/>
                <w:highlight w:val="none"/>
                <w:lang w:val="en-US" w:eastAsia="zh-CN"/>
              </w:rPr>
              <w:t>1</w:t>
            </w:r>
            <w:r>
              <w:rPr>
                <w:rFonts w:hint="eastAsia"/>
                <w:color w:val="000000"/>
                <w:sz w:val="21"/>
                <w:szCs w:val="21"/>
                <w:highlight w:val="none"/>
              </w:rPr>
              <w:t>分；</w:t>
            </w:r>
          </w:p>
          <w:p>
            <w:pPr>
              <w:jc w:val="left"/>
              <w:rPr>
                <w:rFonts w:hint="eastAsia"/>
                <w:color w:val="000000"/>
                <w:sz w:val="21"/>
                <w:szCs w:val="21"/>
                <w:highlight w:val="none"/>
              </w:rPr>
            </w:pPr>
            <w:r>
              <w:rPr>
                <w:rFonts w:hint="eastAsia"/>
                <w:color w:val="000000"/>
                <w:sz w:val="21"/>
                <w:szCs w:val="21"/>
                <w:highlight w:val="none"/>
              </w:rPr>
              <w:t>（3）具有与病案管理有关的专利，得1分；</w:t>
            </w:r>
          </w:p>
          <w:p>
            <w:pPr>
              <w:jc w:val="left"/>
              <w:rPr>
                <w:rFonts w:hint="eastAsia"/>
                <w:color w:val="000000"/>
                <w:sz w:val="21"/>
                <w:szCs w:val="21"/>
                <w:highlight w:val="none"/>
              </w:rPr>
            </w:pPr>
            <w:r>
              <w:rPr>
                <w:rFonts w:hint="eastAsia"/>
                <w:color w:val="000000"/>
                <w:sz w:val="21"/>
                <w:szCs w:val="21"/>
                <w:highlight w:val="none"/>
              </w:rPr>
              <w:t>（4）具有病案回收管理系统软件著作权登记证书，得</w:t>
            </w:r>
            <w:r>
              <w:rPr>
                <w:rFonts w:hint="eastAsia"/>
                <w:color w:val="000000"/>
                <w:sz w:val="21"/>
                <w:szCs w:val="21"/>
                <w:highlight w:val="none"/>
                <w:lang w:val="en-US" w:eastAsia="zh-CN"/>
              </w:rPr>
              <w:t>1</w:t>
            </w:r>
            <w:r>
              <w:rPr>
                <w:rFonts w:hint="eastAsia"/>
                <w:color w:val="000000"/>
                <w:sz w:val="21"/>
                <w:szCs w:val="21"/>
                <w:highlight w:val="none"/>
              </w:rPr>
              <w:t>分；</w:t>
            </w:r>
          </w:p>
          <w:p>
            <w:pPr>
              <w:jc w:val="left"/>
              <w:rPr>
                <w:rFonts w:hint="eastAsia"/>
                <w:color w:val="000000"/>
                <w:sz w:val="21"/>
                <w:szCs w:val="21"/>
                <w:highlight w:val="none"/>
              </w:rPr>
            </w:pPr>
            <w:r>
              <w:rPr>
                <w:rFonts w:hint="eastAsia"/>
                <w:color w:val="000000"/>
                <w:sz w:val="21"/>
                <w:szCs w:val="21"/>
                <w:highlight w:val="none"/>
              </w:rPr>
              <w:t>（5）具有病案随访管理软件著作权登记证书，得</w:t>
            </w:r>
            <w:r>
              <w:rPr>
                <w:rFonts w:hint="eastAsia"/>
                <w:color w:val="000000"/>
                <w:sz w:val="21"/>
                <w:szCs w:val="21"/>
                <w:highlight w:val="none"/>
                <w:lang w:val="en-US" w:eastAsia="zh-CN"/>
              </w:rPr>
              <w:t>1</w:t>
            </w:r>
            <w:r>
              <w:rPr>
                <w:rFonts w:hint="eastAsia"/>
                <w:color w:val="000000"/>
                <w:sz w:val="21"/>
                <w:szCs w:val="21"/>
                <w:highlight w:val="none"/>
              </w:rPr>
              <w:t>分；</w:t>
            </w:r>
          </w:p>
          <w:p>
            <w:pPr>
              <w:jc w:val="left"/>
              <w:rPr>
                <w:rFonts w:hint="eastAsia"/>
                <w:color w:val="000000"/>
                <w:sz w:val="21"/>
                <w:szCs w:val="21"/>
                <w:highlight w:val="none"/>
              </w:rPr>
            </w:pPr>
            <w:r>
              <w:rPr>
                <w:rFonts w:hint="eastAsia"/>
                <w:color w:val="000000"/>
                <w:sz w:val="21"/>
                <w:szCs w:val="21"/>
                <w:highlight w:val="none"/>
              </w:rPr>
              <w:t>（6）具有临床路径管理软件著作权登记证书，得</w:t>
            </w:r>
            <w:r>
              <w:rPr>
                <w:rFonts w:hint="eastAsia"/>
                <w:color w:val="000000"/>
                <w:sz w:val="21"/>
                <w:szCs w:val="21"/>
                <w:highlight w:val="none"/>
                <w:lang w:val="en-US" w:eastAsia="zh-CN"/>
              </w:rPr>
              <w:t>1</w:t>
            </w:r>
            <w:r>
              <w:rPr>
                <w:rFonts w:hint="eastAsia"/>
                <w:color w:val="000000"/>
                <w:sz w:val="21"/>
                <w:szCs w:val="21"/>
                <w:highlight w:val="none"/>
              </w:rPr>
              <w:t>分；</w:t>
            </w:r>
          </w:p>
          <w:p>
            <w:pPr>
              <w:jc w:val="left"/>
              <w:rPr>
                <w:rFonts w:hint="eastAsia"/>
                <w:color w:val="000000"/>
                <w:sz w:val="21"/>
                <w:szCs w:val="21"/>
                <w:highlight w:val="none"/>
              </w:rPr>
            </w:pPr>
            <w:r>
              <w:rPr>
                <w:rFonts w:hint="eastAsia"/>
                <w:color w:val="000000"/>
                <w:sz w:val="21"/>
                <w:szCs w:val="21"/>
                <w:highlight w:val="none"/>
              </w:rPr>
              <w:t>（7）具有远程病案复印管理系统软件著作权登记证书，得</w:t>
            </w:r>
            <w:r>
              <w:rPr>
                <w:rFonts w:hint="eastAsia"/>
                <w:color w:val="000000"/>
                <w:sz w:val="21"/>
                <w:szCs w:val="21"/>
                <w:highlight w:val="none"/>
                <w:lang w:val="en-US" w:eastAsia="zh-CN"/>
              </w:rPr>
              <w:t>1</w:t>
            </w:r>
            <w:r>
              <w:rPr>
                <w:rFonts w:hint="eastAsia"/>
                <w:color w:val="000000"/>
                <w:sz w:val="21"/>
                <w:szCs w:val="21"/>
                <w:highlight w:val="none"/>
              </w:rPr>
              <w:t>分。</w:t>
            </w:r>
          </w:p>
          <w:p>
            <w:pPr>
              <w:jc w:val="left"/>
              <w:rPr>
                <w:rFonts w:hint="eastAsia"/>
                <w:color w:val="000000"/>
                <w:sz w:val="21"/>
                <w:szCs w:val="21"/>
                <w:highlight w:val="none"/>
              </w:rPr>
            </w:pPr>
            <w:r>
              <w:rPr>
                <w:rFonts w:hint="eastAsia"/>
                <w:color w:val="000000"/>
                <w:sz w:val="21"/>
                <w:szCs w:val="21"/>
                <w:highlight w:val="none"/>
              </w:rPr>
              <w:t>（8）具有电子病历软件著作权登记证书，得</w:t>
            </w:r>
            <w:r>
              <w:rPr>
                <w:rFonts w:hint="eastAsia"/>
                <w:color w:val="000000"/>
                <w:sz w:val="21"/>
                <w:szCs w:val="21"/>
                <w:highlight w:val="none"/>
                <w:lang w:val="en-US" w:eastAsia="zh-CN"/>
              </w:rPr>
              <w:t>1</w:t>
            </w:r>
            <w:r>
              <w:rPr>
                <w:rFonts w:hint="eastAsia"/>
                <w:color w:val="000000"/>
                <w:sz w:val="21"/>
                <w:szCs w:val="21"/>
                <w:highlight w:val="none"/>
              </w:rPr>
              <w:t>分。</w:t>
            </w:r>
          </w:p>
          <w:p>
            <w:pPr>
              <w:pStyle w:val="11"/>
              <w:widowControl w:val="0"/>
              <w:numPr>
                <w:ilvl w:val="0"/>
                <w:numId w:val="0"/>
              </w:numPr>
              <w:spacing w:line="360" w:lineRule="exact"/>
              <w:ind w:left="0" w:firstLine="0"/>
              <w:jc w:val="left"/>
              <w:rPr>
                <w:rFonts w:hint="eastAsia"/>
                <w:b w:val="0"/>
                <w:color w:val="000000"/>
                <w:sz w:val="21"/>
                <w:szCs w:val="21"/>
                <w:highlight w:val="none"/>
              </w:rPr>
            </w:pPr>
            <w:r>
              <w:rPr>
                <w:rFonts w:hint="eastAsia"/>
                <w:color w:val="000000"/>
                <w:sz w:val="21"/>
                <w:szCs w:val="21"/>
                <w:highlight w:val="none"/>
              </w:rPr>
              <w:t>提供相关证书原件</w:t>
            </w:r>
            <w:r>
              <w:rPr>
                <w:rFonts w:hint="eastAsia"/>
                <w:color w:val="000000"/>
                <w:sz w:val="21"/>
                <w:szCs w:val="21"/>
                <w:highlight w:val="none"/>
                <w:lang w:eastAsia="zh-CN"/>
              </w:rPr>
              <w:t>复印件加盖公章</w:t>
            </w:r>
            <w:r>
              <w:rPr>
                <w:rFonts w:hint="eastAsia"/>
                <w:color w:val="000000"/>
                <w:sz w:val="21"/>
                <w:szCs w:val="21"/>
                <w:highlight w:val="none"/>
              </w:rPr>
              <w:t>，原件备查，未提供不得分。</w:t>
            </w:r>
          </w:p>
        </w:tc>
        <w:tc>
          <w:tcPr>
            <w:tcW w:w="139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宋体" w:hAnsi="宋体"/>
                <w:color w:val="000000"/>
                <w:szCs w:val="21"/>
                <w:highlight w:val="none"/>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521" w:hRule="atLeast"/>
          <w:jc w:val="center"/>
        </w:trPr>
        <w:tc>
          <w:tcPr>
            <w:tcW w:w="79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宋体" w:hAnsi="宋体"/>
                <w:color w:val="000000"/>
                <w:szCs w:val="21"/>
                <w:highlight w:val="none"/>
                <w:lang w:val="en-US" w:eastAsia="zh-CN"/>
              </w:rPr>
            </w:pPr>
            <w:r>
              <w:rPr>
                <w:rFonts w:hint="eastAsia" w:ascii="宋体" w:hAnsi="宋体"/>
                <w:color w:val="000000"/>
                <w:szCs w:val="21"/>
                <w:highlight w:val="none"/>
                <w:lang w:val="en-US" w:eastAsia="zh-CN"/>
              </w:rPr>
              <w:t>4</w:t>
            </w:r>
          </w:p>
        </w:tc>
        <w:tc>
          <w:tcPr>
            <w:tcW w:w="1560" w:type="dxa"/>
            <w:tcBorders>
              <w:top w:val="single" w:color="auto" w:sz="6" w:space="0"/>
              <w:left w:val="single" w:color="auto" w:sz="6" w:space="0"/>
              <w:bottom w:val="single" w:color="auto" w:sz="6" w:space="0"/>
              <w:right w:val="single" w:color="auto" w:sz="6" w:space="0"/>
            </w:tcBorders>
            <w:vAlign w:val="center"/>
          </w:tcPr>
          <w:p>
            <w:pPr>
              <w:spacing w:line="360" w:lineRule="exact"/>
              <w:jc w:val="center"/>
              <w:rPr>
                <w:rFonts w:hint="eastAsia" w:ascii="宋体" w:hAnsi="宋体" w:eastAsia="宋体"/>
                <w:color w:val="000000"/>
                <w:szCs w:val="21"/>
                <w:highlight w:val="none"/>
                <w:lang w:eastAsia="zh-CN"/>
              </w:rPr>
            </w:pPr>
            <w:r>
              <w:rPr>
                <w:rFonts w:hint="eastAsia" w:ascii="宋体" w:hAnsi="宋体"/>
                <w:color w:val="000000"/>
                <w:szCs w:val="21"/>
                <w:highlight w:val="none"/>
                <w:lang w:eastAsia="zh-CN"/>
              </w:rPr>
              <w:t>企业信誉</w:t>
            </w:r>
          </w:p>
        </w:tc>
        <w:tc>
          <w:tcPr>
            <w:tcW w:w="981" w:type="dxa"/>
            <w:tcBorders>
              <w:top w:val="single" w:color="auto" w:sz="6" w:space="0"/>
              <w:left w:val="single" w:color="auto" w:sz="6" w:space="0"/>
              <w:bottom w:val="single" w:color="auto" w:sz="6" w:space="0"/>
              <w:right w:val="single" w:color="auto" w:sz="6" w:space="0"/>
            </w:tcBorders>
            <w:vAlign w:val="center"/>
          </w:tcPr>
          <w:p>
            <w:pPr>
              <w:spacing w:line="360" w:lineRule="exact"/>
              <w:jc w:val="center"/>
              <w:rPr>
                <w:rFonts w:hint="eastAsia" w:ascii="宋体" w:hAnsi="宋体"/>
                <w:color w:val="000000"/>
                <w:szCs w:val="21"/>
                <w:highlight w:val="none"/>
                <w:lang w:val="en-US" w:eastAsia="zh-CN"/>
              </w:rPr>
            </w:pPr>
            <w:r>
              <w:rPr>
                <w:rFonts w:hint="eastAsia" w:ascii="宋体" w:hAnsi="宋体"/>
                <w:color w:val="000000"/>
                <w:szCs w:val="21"/>
                <w:highlight w:val="none"/>
                <w:lang w:val="en-US" w:eastAsia="zh-CN"/>
              </w:rPr>
              <w:t>6</w:t>
            </w:r>
          </w:p>
        </w:tc>
        <w:tc>
          <w:tcPr>
            <w:tcW w:w="4713" w:type="dxa"/>
            <w:tcBorders>
              <w:top w:val="single" w:color="auto" w:sz="6" w:space="0"/>
              <w:left w:val="single" w:color="auto" w:sz="6" w:space="0"/>
              <w:bottom w:val="single" w:color="auto" w:sz="6" w:space="0"/>
              <w:right w:val="single" w:color="auto" w:sz="6" w:space="0"/>
            </w:tcBorders>
            <w:vAlign w:val="center"/>
          </w:tcPr>
          <w:p>
            <w:pPr>
              <w:rPr>
                <w:rFonts w:hint="eastAsia" w:ascii="宋体" w:hAnsi="宋体" w:cs="宋体"/>
                <w:bCs/>
                <w:color w:val="000000"/>
                <w:sz w:val="21"/>
                <w:szCs w:val="21"/>
                <w:highlight w:val="none"/>
                <w:lang w:val="zh-CN"/>
              </w:rPr>
            </w:pPr>
            <w:r>
              <w:rPr>
                <w:rFonts w:hint="eastAsia" w:ascii="宋体" w:hAnsi="宋体" w:cs="宋体"/>
                <w:bCs/>
                <w:color w:val="000000"/>
                <w:sz w:val="21"/>
                <w:szCs w:val="21"/>
                <w:highlight w:val="none"/>
                <w:lang w:val="en-US" w:eastAsia="zh-CN"/>
              </w:rPr>
              <w:t>1、</w:t>
            </w:r>
            <w:r>
              <w:rPr>
                <w:rFonts w:hint="eastAsia" w:ascii="宋体" w:hAnsi="宋体" w:cs="宋体"/>
                <w:bCs/>
                <w:color w:val="000000"/>
                <w:sz w:val="21"/>
                <w:szCs w:val="21"/>
                <w:highlight w:val="none"/>
                <w:lang w:val="zh-CN"/>
              </w:rPr>
              <w:t>2014年以来，投标人在本项目投标截止时间前有经深圳广东省内或区政府招标中心或采购代理机构采购正在服务的同类型项目（同时为一家医院提供病案数字化、</w:t>
            </w:r>
            <w:r>
              <w:rPr>
                <w:rFonts w:hint="eastAsia" w:ascii="宋体" w:hAnsi="宋体" w:cs="宋体"/>
                <w:color w:val="000000"/>
                <w:sz w:val="21"/>
                <w:szCs w:val="21"/>
                <w:highlight w:val="none"/>
              </w:rPr>
              <w:t>病案托管（</w:t>
            </w:r>
            <w:r>
              <w:rPr>
                <w:rFonts w:hint="eastAsia" w:ascii="宋体" w:hAnsi="宋体" w:cs="宋体"/>
                <w:b/>
                <w:color w:val="000000"/>
                <w:sz w:val="21"/>
                <w:szCs w:val="21"/>
                <w:highlight w:val="none"/>
                <w:lang w:val="zh-CN"/>
              </w:rPr>
              <w:t>合同里要求有明确的托管条款、年托管价格,免费托管不算案例）</w:t>
            </w:r>
            <w:r>
              <w:rPr>
                <w:rFonts w:hint="eastAsia" w:ascii="宋体" w:hAnsi="宋体" w:cs="宋体"/>
                <w:bCs/>
                <w:color w:val="000000"/>
                <w:sz w:val="21"/>
                <w:szCs w:val="21"/>
                <w:highlight w:val="none"/>
                <w:lang w:val="zh-CN"/>
              </w:rPr>
              <w:t>），经服务单位考核评价为优秀的，每提供一个得</w:t>
            </w:r>
            <w:r>
              <w:rPr>
                <w:rFonts w:hint="eastAsia" w:ascii="宋体" w:hAnsi="宋体" w:cs="宋体"/>
                <w:bCs/>
                <w:color w:val="000000"/>
                <w:sz w:val="21"/>
                <w:szCs w:val="21"/>
                <w:highlight w:val="none"/>
                <w:lang w:val="en-US" w:eastAsia="zh-CN"/>
              </w:rPr>
              <w:t>3</w:t>
            </w:r>
            <w:r>
              <w:rPr>
                <w:rFonts w:hint="eastAsia" w:ascii="宋体" w:hAnsi="宋体" w:cs="宋体"/>
                <w:bCs/>
                <w:color w:val="000000"/>
                <w:sz w:val="21"/>
                <w:szCs w:val="21"/>
                <w:highlight w:val="none"/>
              </w:rPr>
              <w:t>分，最高得</w:t>
            </w:r>
            <w:r>
              <w:rPr>
                <w:rFonts w:hint="eastAsia" w:ascii="宋体" w:hAnsi="宋体" w:cs="宋体"/>
                <w:bCs/>
                <w:color w:val="000000"/>
                <w:sz w:val="21"/>
                <w:szCs w:val="21"/>
                <w:highlight w:val="none"/>
                <w:lang w:val="en-US" w:eastAsia="zh-CN"/>
              </w:rPr>
              <w:t>6</w:t>
            </w:r>
            <w:r>
              <w:rPr>
                <w:rFonts w:hint="eastAsia" w:ascii="宋体" w:hAnsi="宋体" w:cs="宋体"/>
                <w:bCs/>
                <w:color w:val="000000"/>
                <w:sz w:val="21"/>
                <w:szCs w:val="21"/>
                <w:highlight w:val="none"/>
                <w:lang w:val="zh-CN"/>
              </w:rPr>
              <w:t>分。</w:t>
            </w:r>
          </w:p>
          <w:p>
            <w:pPr>
              <w:pStyle w:val="11"/>
              <w:widowControl w:val="0"/>
              <w:numPr>
                <w:ilvl w:val="0"/>
                <w:numId w:val="0"/>
              </w:numPr>
              <w:spacing w:line="360" w:lineRule="exact"/>
              <w:ind w:left="0" w:firstLine="0"/>
              <w:jc w:val="left"/>
              <w:rPr>
                <w:rFonts w:hint="eastAsia"/>
                <w:color w:val="000000"/>
                <w:sz w:val="21"/>
                <w:szCs w:val="21"/>
                <w:highlight w:val="none"/>
              </w:rPr>
            </w:pPr>
            <w:r>
              <w:rPr>
                <w:rFonts w:hint="eastAsia" w:ascii="宋体" w:hAnsi="宋体" w:cs="宋体"/>
                <w:b/>
                <w:bCs/>
                <w:color w:val="000000"/>
                <w:sz w:val="21"/>
                <w:szCs w:val="21"/>
                <w:highlight w:val="none"/>
              </w:rPr>
              <w:t>证明文件：需提供中标（成交）通知书、合同</w:t>
            </w:r>
            <w:r>
              <w:rPr>
                <w:rFonts w:hint="eastAsia" w:ascii="宋体" w:hAnsi="宋体" w:cs="宋体"/>
                <w:b/>
                <w:color w:val="000000"/>
                <w:sz w:val="21"/>
                <w:szCs w:val="21"/>
                <w:highlight w:val="none"/>
                <w:lang w:val="zh-CN"/>
              </w:rPr>
              <w:t>（合同里要求有明确的托管条款、年托管价格,免费托管不算案例）、相关网站中标（成交）公告的下载网页及其网址</w:t>
            </w:r>
            <w:r>
              <w:rPr>
                <w:rFonts w:hint="eastAsia" w:ascii="宋体" w:hAnsi="宋体" w:cs="宋体"/>
                <w:b/>
                <w:bCs/>
                <w:color w:val="000000"/>
                <w:sz w:val="21"/>
                <w:szCs w:val="21"/>
                <w:highlight w:val="none"/>
              </w:rPr>
              <w:t>和</w:t>
            </w:r>
            <w:r>
              <w:rPr>
                <w:rFonts w:hint="eastAsia" w:ascii="宋体" w:hAnsi="宋体" w:cs="宋体"/>
                <w:b/>
                <w:bCs/>
                <w:color w:val="000000"/>
                <w:sz w:val="21"/>
                <w:szCs w:val="21"/>
                <w:highlight w:val="none"/>
                <w:lang w:val="zh-CN"/>
              </w:rPr>
              <w:t>考核评价为优（优秀、优良、满意）的相关证明文件</w:t>
            </w:r>
            <w:r>
              <w:rPr>
                <w:rFonts w:hint="eastAsia" w:ascii="宋体" w:hAnsi="宋体" w:cs="宋体"/>
                <w:b/>
                <w:bCs/>
                <w:color w:val="000000"/>
                <w:sz w:val="21"/>
                <w:szCs w:val="21"/>
                <w:highlight w:val="none"/>
              </w:rPr>
              <w:t>复印件加盖投标人公章为准，原件备查，不清晰或未提供不得分。</w:t>
            </w:r>
          </w:p>
        </w:tc>
        <w:tc>
          <w:tcPr>
            <w:tcW w:w="139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宋体" w:hAnsi="宋体"/>
                <w:color w:val="000000"/>
                <w:szCs w:val="21"/>
                <w:highlight w:val="none"/>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106" w:hRule="atLeast"/>
          <w:jc w:val="center"/>
        </w:trPr>
        <w:tc>
          <w:tcPr>
            <w:tcW w:w="79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宋体" w:hAnsi="宋体"/>
                <w:color w:val="000000"/>
                <w:szCs w:val="21"/>
                <w:highlight w:val="none"/>
                <w:lang w:val="en-US" w:eastAsia="zh-CN"/>
              </w:rPr>
            </w:pPr>
            <w:r>
              <w:rPr>
                <w:rFonts w:hint="eastAsia" w:ascii="宋体" w:hAnsi="宋体"/>
                <w:color w:val="000000"/>
                <w:szCs w:val="21"/>
                <w:highlight w:val="none"/>
                <w:lang w:val="en-US" w:eastAsia="zh-CN"/>
              </w:rPr>
              <w:t>5</w:t>
            </w:r>
          </w:p>
        </w:tc>
        <w:tc>
          <w:tcPr>
            <w:tcW w:w="1560" w:type="dxa"/>
            <w:tcBorders>
              <w:top w:val="single" w:color="auto" w:sz="6" w:space="0"/>
              <w:left w:val="single" w:color="auto" w:sz="6" w:space="0"/>
              <w:bottom w:val="single" w:color="auto" w:sz="6" w:space="0"/>
              <w:right w:val="single" w:color="auto" w:sz="6" w:space="0"/>
            </w:tcBorders>
            <w:vAlign w:val="center"/>
          </w:tcPr>
          <w:p>
            <w:pPr>
              <w:spacing w:line="360" w:lineRule="exact"/>
              <w:jc w:val="center"/>
              <w:rPr>
                <w:rFonts w:hint="eastAsia" w:ascii="宋体" w:hAnsi="宋体"/>
                <w:color w:val="000000"/>
                <w:szCs w:val="21"/>
                <w:highlight w:val="none"/>
                <w:lang w:eastAsia="zh-CN"/>
              </w:rPr>
            </w:pPr>
            <w:r>
              <w:rPr>
                <w:rFonts w:hint="eastAsia" w:ascii="宋体" w:hAnsi="宋体"/>
                <w:color w:val="000000"/>
                <w:szCs w:val="21"/>
                <w:highlight w:val="none"/>
                <w:lang w:eastAsia="zh-CN"/>
              </w:rPr>
              <w:t>案例</w:t>
            </w:r>
          </w:p>
        </w:tc>
        <w:tc>
          <w:tcPr>
            <w:tcW w:w="981" w:type="dxa"/>
            <w:tcBorders>
              <w:top w:val="single" w:color="auto" w:sz="6" w:space="0"/>
              <w:left w:val="single" w:color="auto" w:sz="6" w:space="0"/>
              <w:bottom w:val="single" w:color="auto" w:sz="6" w:space="0"/>
              <w:right w:val="single" w:color="auto" w:sz="6" w:space="0"/>
            </w:tcBorders>
            <w:vAlign w:val="center"/>
          </w:tcPr>
          <w:p>
            <w:pPr>
              <w:spacing w:line="360" w:lineRule="exact"/>
              <w:jc w:val="center"/>
              <w:rPr>
                <w:rFonts w:hint="eastAsia" w:ascii="宋体" w:hAnsi="宋体"/>
                <w:color w:val="000000"/>
                <w:szCs w:val="21"/>
                <w:highlight w:val="none"/>
                <w:lang w:val="en-US" w:eastAsia="zh-CN"/>
              </w:rPr>
            </w:pPr>
            <w:r>
              <w:rPr>
                <w:rFonts w:hint="eastAsia" w:ascii="宋体" w:hAnsi="宋体"/>
                <w:color w:val="000000"/>
                <w:szCs w:val="21"/>
                <w:highlight w:val="none"/>
                <w:lang w:val="en-US" w:eastAsia="zh-CN"/>
              </w:rPr>
              <w:t>18</w:t>
            </w:r>
          </w:p>
        </w:tc>
        <w:tc>
          <w:tcPr>
            <w:tcW w:w="4713" w:type="dxa"/>
            <w:tcBorders>
              <w:top w:val="single" w:color="auto" w:sz="6" w:space="0"/>
              <w:left w:val="single" w:color="auto" w:sz="6" w:space="0"/>
              <w:bottom w:val="single" w:color="auto" w:sz="6" w:space="0"/>
              <w:right w:val="single" w:color="auto" w:sz="6" w:space="0"/>
            </w:tcBorders>
            <w:vAlign w:val="center"/>
          </w:tcPr>
          <w:p>
            <w:pPr>
              <w:rPr>
                <w:rFonts w:hint="eastAsia" w:ascii="宋体" w:hAnsi="宋体" w:cs="宋体"/>
                <w:b/>
                <w:bCs/>
                <w:color w:val="000000"/>
                <w:sz w:val="21"/>
                <w:szCs w:val="21"/>
                <w:highlight w:val="none"/>
              </w:rPr>
            </w:pPr>
            <w:r>
              <w:rPr>
                <w:rFonts w:hint="eastAsia" w:ascii="宋体" w:hAnsi="宋体" w:eastAsia="宋体" w:cs="宋体"/>
                <w:color w:val="000000"/>
                <w:sz w:val="21"/>
                <w:szCs w:val="21"/>
                <w:highlight w:val="none"/>
              </w:rPr>
              <w:t>1、2014年以来</w:t>
            </w:r>
            <w:r>
              <w:rPr>
                <w:rFonts w:hint="eastAsia" w:ascii="宋体" w:hAnsi="宋体" w:eastAsia="宋体" w:cs="宋体"/>
                <w:color w:val="000000"/>
                <w:sz w:val="21"/>
                <w:szCs w:val="21"/>
                <w:highlight w:val="none"/>
                <w:lang w:eastAsia="zh-CN"/>
              </w:rPr>
              <w:t>为广东省内所属医院同时提供</w:t>
            </w:r>
            <w:r>
              <w:rPr>
                <w:rFonts w:hint="eastAsia" w:ascii="宋体" w:hAnsi="宋体" w:eastAsia="宋体" w:cs="宋体"/>
                <w:color w:val="000000"/>
                <w:sz w:val="21"/>
                <w:szCs w:val="21"/>
                <w:highlight w:val="none"/>
              </w:rPr>
              <w:t>病案复印、病案</w:t>
            </w:r>
            <w:r>
              <w:rPr>
                <w:rFonts w:hint="eastAsia" w:ascii="宋体" w:hAnsi="宋体" w:eastAsia="宋体" w:cs="宋体"/>
                <w:color w:val="000000"/>
                <w:sz w:val="21"/>
                <w:szCs w:val="21"/>
                <w:highlight w:val="none"/>
                <w:lang w:eastAsia="zh-CN"/>
              </w:rPr>
              <w:t>数字化、病案托管（</w:t>
            </w:r>
            <w:r>
              <w:rPr>
                <w:rFonts w:hint="eastAsia" w:ascii="宋体" w:hAnsi="宋体" w:eastAsia="宋体" w:cs="宋体"/>
                <w:b/>
                <w:color w:val="000000"/>
                <w:sz w:val="21"/>
                <w:szCs w:val="21"/>
                <w:highlight w:val="none"/>
                <w:lang w:val="zh-CN"/>
              </w:rPr>
              <w:t>合同里要求有明确的托管条款、年托管价格,免费托管不算案例）</w:t>
            </w:r>
            <w:r>
              <w:rPr>
                <w:rFonts w:hint="eastAsia" w:ascii="宋体" w:hAnsi="宋体" w:eastAsia="宋体" w:cs="宋体"/>
                <w:color w:val="000000"/>
                <w:sz w:val="21"/>
                <w:szCs w:val="21"/>
                <w:highlight w:val="none"/>
                <w:lang w:eastAsia="zh-CN"/>
              </w:rPr>
              <w:t>的案例</w:t>
            </w:r>
            <w:r>
              <w:rPr>
                <w:rFonts w:hint="eastAsia" w:ascii="宋体" w:hAnsi="宋体" w:eastAsia="宋体" w:cs="宋体"/>
                <w:color w:val="000000"/>
                <w:sz w:val="21"/>
                <w:szCs w:val="21"/>
                <w:highlight w:val="none"/>
              </w:rPr>
              <w:t>，每一家医院得1分，最高</w:t>
            </w:r>
            <w:r>
              <w:rPr>
                <w:rFonts w:hint="eastAsia" w:ascii="宋体" w:hAnsi="宋体" w:eastAsia="宋体" w:cs="宋体"/>
                <w:color w:val="000000"/>
                <w:sz w:val="21"/>
                <w:szCs w:val="21"/>
                <w:highlight w:val="none"/>
                <w:lang w:val="en-US" w:eastAsia="zh-CN"/>
              </w:rPr>
              <w:t>18</w:t>
            </w:r>
            <w:r>
              <w:rPr>
                <w:rFonts w:hint="eastAsia" w:ascii="宋体" w:hAnsi="宋体" w:eastAsia="宋体" w:cs="宋体"/>
                <w:color w:val="000000"/>
                <w:sz w:val="21"/>
                <w:szCs w:val="21"/>
                <w:highlight w:val="none"/>
              </w:rPr>
              <w:t>分。需提供有效的病案复印、病案</w:t>
            </w:r>
            <w:r>
              <w:rPr>
                <w:rFonts w:hint="eastAsia" w:ascii="宋体" w:hAnsi="宋体" w:eastAsia="宋体" w:cs="宋体"/>
                <w:color w:val="000000"/>
                <w:sz w:val="21"/>
                <w:szCs w:val="21"/>
                <w:highlight w:val="none"/>
                <w:lang w:eastAsia="zh-CN"/>
              </w:rPr>
              <w:t>托管</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病案数字化案例</w:t>
            </w:r>
            <w:r>
              <w:rPr>
                <w:rFonts w:hint="eastAsia" w:ascii="宋体" w:hAnsi="宋体" w:eastAsia="宋体" w:cs="宋体"/>
                <w:color w:val="000000"/>
                <w:sz w:val="21"/>
                <w:szCs w:val="21"/>
                <w:highlight w:val="none"/>
              </w:rPr>
              <w:t>合同复印件加盖公章，原件备查，不提供不得分。</w:t>
            </w:r>
          </w:p>
        </w:tc>
        <w:tc>
          <w:tcPr>
            <w:tcW w:w="139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宋体" w:hAnsi="宋体"/>
                <w:color w:val="000000"/>
                <w:szCs w:val="21"/>
                <w:highlight w:val="none"/>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138" w:hRule="atLeast"/>
          <w:jc w:val="center"/>
        </w:trPr>
        <w:tc>
          <w:tcPr>
            <w:tcW w:w="3337" w:type="dxa"/>
            <w:gridSpan w:val="3"/>
            <w:tcBorders>
              <w:top w:val="single" w:color="auto" w:sz="6" w:space="0"/>
              <w:left w:val="single" w:color="auto" w:sz="6" w:space="0"/>
              <w:bottom w:val="single" w:color="auto" w:sz="4" w:space="0"/>
              <w:right w:val="single" w:color="auto" w:sz="6" w:space="0"/>
            </w:tcBorders>
            <w:vAlign w:val="center"/>
          </w:tcPr>
          <w:p>
            <w:pPr>
              <w:spacing w:line="360" w:lineRule="exact"/>
              <w:jc w:val="center"/>
              <w:rPr>
                <w:rFonts w:hint="eastAsia" w:ascii="宋体" w:hAnsi="宋体"/>
                <w:color w:val="000000"/>
                <w:szCs w:val="21"/>
                <w:highlight w:val="none"/>
                <w:lang w:val="en-US" w:eastAsia="zh-CN"/>
              </w:rPr>
            </w:pPr>
            <w:r>
              <w:rPr>
                <w:rFonts w:hint="eastAsia" w:ascii="宋体" w:hAnsi="宋体"/>
                <w:color w:val="000000"/>
                <w:szCs w:val="21"/>
                <w:highlight w:val="none"/>
                <w:lang w:val="en-US" w:eastAsia="zh-CN"/>
              </w:rPr>
              <w:t>总计</w:t>
            </w:r>
          </w:p>
        </w:tc>
        <w:tc>
          <w:tcPr>
            <w:tcW w:w="4713" w:type="dxa"/>
            <w:tcBorders>
              <w:top w:val="single" w:color="auto" w:sz="6" w:space="0"/>
              <w:left w:val="single" w:color="auto" w:sz="6" w:space="0"/>
              <w:bottom w:val="single" w:color="auto" w:sz="4" w:space="0"/>
              <w:right w:val="single" w:color="auto" w:sz="6" w:space="0"/>
            </w:tcBorders>
            <w:vAlign w:val="center"/>
          </w:tcPr>
          <w:p>
            <w:pPr>
              <w:rPr>
                <w:rFonts w:hint="eastAsia" w:ascii="宋体" w:hAnsi="宋体" w:eastAsia="宋体" w:cs="宋体"/>
                <w:color w:val="000000"/>
                <w:sz w:val="21"/>
                <w:szCs w:val="21"/>
                <w:highlight w:val="none"/>
              </w:rPr>
            </w:pPr>
          </w:p>
        </w:tc>
        <w:tc>
          <w:tcPr>
            <w:tcW w:w="1393"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hint="eastAsia" w:ascii="宋体" w:hAnsi="宋体"/>
                <w:color w:val="000000"/>
                <w:szCs w:val="21"/>
                <w:highlight w:val="none"/>
                <w:lang w:val="zh-CN"/>
              </w:rPr>
            </w:pPr>
          </w:p>
        </w:tc>
      </w:tr>
      <w:bookmarkEnd w:id="2"/>
      <w:bookmarkEnd w:id="3"/>
    </w:tbl>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仿宋">
    <w:altName w:val="微软雅黑"/>
    <w:panose1 w:val="02010609060101010101"/>
    <w:charset w:val="86"/>
    <w:family w:val="modern"/>
    <w:pitch w:val="default"/>
    <w:sig w:usb0="00000000" w:usb1="00000000" w:usb2="00000016" w:usb3="00000000" w:csb0="00040001" w:csb1="00000000"/>
  </w:font>
  <w:font w:name="Tahoma">
    <w:panose1 w:val="020B0604030504040204"/>
    <w:charset w:val="00"/>
    <w:family w:val="swiss"/>
    <w:pitch w:val="default"/>
    <w:sig w:usb0="61007A87" w:usb1="80000000" w:usb2="00000008" w:usb3="00000000" w:csb0="200101FF" w:csb1="20280000"/>
  </w:font>
  <w:font w:name="Arial">
    <w:panose1 w:val="020B0604020202020204"/>
    <w:charset w:val="00"/>
    <w:family w:val="swiss"/>
    <w:pitch w:val="default"/>
    <w:sig w:usb0="00007A87" w:usb1="80000000" w:usb2="00000008" w:usb3="00000000" w:csb0="400001FF" w:csb1="FFFF0000"/>
  </w:font>
  <w:font w:name="Verdana">
    <w:panose1 w:val="020B0604030504040204"/>
    <w:charset w:val="00"/>
    <w:family w:val="swiss"/>
    <w:pitch w:val="default"/>
    <w:sig w:usb0="00000287" w:usb1="00000000" w:usb2="00000000" w:usb3="00000000" w:csb0="2000019F" w:csb1="00000000"/>
  </w:font>
  <w:font w:name="Courier New">
    <w:panose1 w:val="02070309020205020404"/>
    <w:charset w:val="00"/>
    <w:family w:val="modern"/>
    <w:pitch w:val="default"/>
    <w:sig w:usb0="00007A87" w:usb1="80000000" w:usb2="00000008" w:usb3="00000000" w:csb0="400001FF" w:csb1="FFFF0000"/>
  </w:font>
  <w:font w:name="Arial Unicode MS">
    <w:altName w:val="宋体"/>
    <w:panose1 w:val="020B0604020202020204"/>
    <w:charset w:val="86"/>
    <w:family w:val="swiss"/>
    <w:pitch w:val="default"/>
    <w:sig w:usb0="00000000" w:usb1="00000000" w:usb2="0000003F" w:usb3="00000000" w:csb0="003F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MS Mincho">
    <w:panose1 w:val="02020609040205080304"/>
    <w:charset w:val="80"/>
    <w:family w:val="modern"/>
    <w:pitch w:val="default"/>
    <w:sig w:usb0="A00002BF" w:usb1="68C7FCFB" w:usb2="00000010" w:usb3="00000000" w:csb0="4002009F" w:csb1="DFD70000"/>
  </w:font>
  <w:font w:name="Times">
    <w:altName w:val="Times New Roman"/>
    <w:panose1 w:val="02020603050405020304"/>
    <w:charset w:val="00"/>
    <w:family w:val="roman"/>
    <w:pitch w:val="default"/>
    <w:sig w:usb0="00000000" w:usb1="00000000" w:usb2="00000008" w:usb3="00000000" w:csb0="000001FF" w:csb1="00000000"/>
  </w:font>
  <w:font w:name="FangSong_GB2312-Identity-H">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0F3C52" w:usb2="00000016" w:usb3="00000000" w:csb0="0004001F" w:csb1="00000000"/>
  </w:font>
  <w:font w:name="仿宋">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0792BA"/>
    <w:multiLevelType w:val="singleLevel"/>
    <w:tmpl w:val="2F0792B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C65E06"/>
    <w:rsid w:val="04C65E06"/>
    <w:rsid w:val="17970479"/>
    <w:rsid w:val="64FE705F"/>
    <w:rsid w:val="69FB153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ahoma" w:hAnsi="Tahoma" w:eastAsiaTheme="minorEastAsia" w:cstheme="minorBidi"/>
      <w:kern w:val="2"/>
      <w:sz w:val="24"/>
      <w:szCs w:val="24"/>
      <w:lang w:val="en-US" w:eastAsia="zh-CN" w:bidi="ar-SA"/>
    </w:rPr>
  </w:style>
  <w:style w:type="paragraph" w:styleId="2">
    <w:name w:val="heading 2"/>
    <w:basedOn w:val="1"/>
    <w:next w:val="1"/>
    <w:unhideWhenUsed/>
    <w:qFormat/>
    <w:uiPriority w:val="0"/>
    <w:pPr>
      <w:keepNext/>
      <w:keepLines/>
      <w:spacing w:before="260" w:beforeLines="0" w:after="260" w:afterLines="0" w:line="408" w:lineRule="auto"/>
      <w:outlineLvl w:val="1"/>
    </w:pPr>
    <w:rPr>
      <w:rFonts w:ascii="Arial" w:hAnsi="Arial" w:eastAsia="黑体"/>
      <w:b/>
      <w:bCs/>
      <w:kern w:val="0"/>
      <w:sz w:val="32"/>
      <w:szCs w:val="32"/>
    </w:rPr>
  </w:style>
  <w:style w:type="character" w:default="1" w:styleId="8">
    <w:name w:val="Default Paragraph Font"/>
    <w:semiHidden/>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3">
    <w:name w:val="Normal Indent"/>
    <w:basedOn w:val="1"/>
    <w:qFormat/>
    <w:uiPriority w:val="0"/>
    <w:pPr>
      <w:autoSpaceDE w:val="0"/>
      <w:autoSpaceDN w:val="0"/>
      <w:spacing w:line="360" w:lineRule="auto"/>
      <w:ind w:left="181" w:firstLine="420"/>
    </w:pPr>
    <w:rPr>
      <w:rFonts w:eastAsia="宋体"/>
      <w:kern w:val="2"/>
      <w:sz w:val="24"/>
      <w:lang w:val="en-US" w:eastAsia="zh-CN" w:bidi="ar-SA"/>
    </w:rPr>
  </w:style>
  <w:style w:type="paragraph" w:styleId="4">
    <w:name w:val="Body Text"/>
    <w:basedOn w:val="1"/>
    <w:qFormat/>
    <w:uiPriority w:val="0"/>
    <w:pPr>
      <w:widowControl/>
      <w:spacing w:before="100" w:beforeLines="0" w:beforeAutospacing="1" w:after="100" w:afterLines="0" w:afterAutospacing="1"/>
      <w:jc w:val="left"/>
    </w:pPr>
    <w:rPr>
      <w:rFonts w:hint="eastAsia" w:ascii="宋体" w:hAnsi="宋体"/>
      <w:kern w:val="0"/>
    </w:rPr>
  </w:style>
  <w:style w:type="paragraph" w:styleId="5">
    <w:name w:val="Plain Text"/>
    <w:basedOn w:val="1"/>
    <w:qFormat/>
    <w:uiPriority w:val="0"/>
    <w:pPr>
      <w:spacing w:line="360" w:lineRule="auto"/>
    </w:pPr>
    <w:rPr>
      <w:rFonts w:ascii="宋体" w:hAnsi="Courier New" w:eastAsia="宋体"/>
      <w:kern w:val="2"/>
      <w:sz w:val="24"/>
      <w:szCs w:val="21"/>
      <w:lang w:val="en-US" w:eastAsia="zh-CN"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0">
    <w:name w:val="Default"/>
    <w:qFormat/>
    <w:uiPriority w:val="0"/>
    <w:pPr>
      <w:widowControl w:val="0"/>
      <w:autoSpaceDE w:val="0"/>
      <w:autoSpaceDN w:val="0"/>
      <w:adjustRightInd w:val="0"/>
    </w:pPr>
    <w:rPr>
      <w:rFonts w:ascii="宋体" w:hAnsi="Calibri" w:cs="宋体" w:eastAsiaTheme="minorEastAsia"/>
      <w:color w:val="000000"/>
      <w:sz w:val="24"/>
      <w:szCs w:val="24"/>
      <w:lang w:val="en-US" w:eastAsia="zh-CN" w:bidi="ar-SA"/>
    </w:rPr>
  </w:style>
  <w:style w:type="paragraph" w:customStyle="1" w:styleId="11">
    <w:name w:val="USE 1"/>
    <w:basedOn w:val="1"/>
    <w:qFormat/>
    <w:uiPriority w:val="0"/>
    <w:pPr>
      <w:spacing w:line="200" w:lineRule="atLeast"/>
      <w:ind w:left="425" w:hanging="425"/>
      <w:jc w:val="left"/>
    </w:pPr>
    <w:rPr>
      <w:rFonts w:ascii="宋体" w:hAnsi="宋体"/>
      <w:b/>
      <w:sz w:val="24"/>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2018-10-31T07:09:00Z</dcterms:created>
  <dc:creator>Administrator</dc:creator>
  <cp:lastModifiedBy>Administrator</cp:lastModifiedBy>
  <cp:lastPrinted>2018-11-08T02:34:00Z</cp:lastPrinted>
  <dcterms:modified xsi:type="dcterms:W3CDTF">2018-11-23T01:30:03Z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