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宋体" w:eastAsia="仿宋_GB2312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auto"/>
          <w:sz w:val="36"/>
          <w:szCs w:val="36"/>
          <w:lang w:val="en-US" w:eastAsia="zh-CN"/>
        </w:rPr>
        <w:t>惠州市中医医院2021年公开招聘护理人员笔试成绩表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宋体" w:eastAsia="仿宋_GB2312"/>
          <w:b/>
          <w:bCs/>
          <w:color w:val="auto"/>
          <w:sz w:val="36"/>
          <w:szCs w:val="36"/>
          <w:lang w:val="en-US" w:eastAsia="zh-CN"/>
        </w:rPr>
      </w:pPr>
    </w:p>
    <w:tbl>
      <w:tblPr>
        <w:tblStyle w:val="3"/>
        <w:tblW w:w="857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1926"/>
        <w:gridCol w:w="2265"/>
        <w:gridCol w:w="23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是否进入专业水平测试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>
      <w:pPr>
        <w:jc w:val="center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286" w:bottom="1440" w:left="16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B3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2021-05-19T10:33:08Z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34B4DA5941024B4C833845C8A206098D</vt:lpwstr>
  </property>
</Properties>
</file>